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4F" w:rsidRDefault="006A684F" w:rsidP="006A684F">
      <w:pPr>
        <w:pStyle w:val="broodtekst"/>
        <w:jc w:val="right"/>
        <w:rPr>
          <w:b/>
        </w:rPr>
      </w:pPr>
      <w:bookmarkStart w:id="0" w:name="_GoBack"/>
      <w:bookmarkEnd w:id="0"/>
      <w:r>
        <w:rPr>
          <w:b/>
        </w:rPr>
        <w:t>Annex 6.7.</w:t>
      </w:r>
    </w:p>
    <w:p w:rsidR="00EC5DEA" w:rsidRDefault="00F07F1F" w:rsidP="00F81984">
      <w:pPr>
        <w:ind w:firstLine="720"/>
        <w:jc w:val="center"/>
        <w:rPr>
          <w:rFonts w:ascii="Calibri" w:hAnsi="Calibri" w:cs="Arial"/>
          <w:b/>
          <w:sz w:val="26"/>
          <w:szCs w:val="26"/>
          <w:lang w:val="ro-RO"/>
        </w:rPr>
      </w:pPr>
      <w:r w:rsidRPr="00F07F1F">
        <w:rPr>
          <w:rFonts w:ascii="Calibri" w:hAnsi="Calibri" w:cs="Arial"/>
          <w:b/>
          <w:sz w:val="26"/>
          <w:szCs w:val="26"/>
          <w:lang w:val="ro-RO"/>
        </w:rPr>
        <w:t xml:space="preserve">Measures to fulfill </w:t>
      </w:r>
      <w:r w:rsidR="009F64E6" w:rsidRPr="00F07F1F">
        <w:rPr>
          <w:rFonts w:ascii="Calibri" w:hAnsi="Calibri" w:cs="Arial"/>
          <w:b/>
          <w:sz w:val="26"/>
          <w:szCs w:val="26"/>
          <w:lang w:val="ro-RO"/>
        </w:rPr>
        <w:t>the</w:t>
      </w:r>
      <w:r w:rsidRPr="00F07F1F">
        <w:rPr>
          <w:rFonts w:ascii="Calibri" w:hAnsi="Calibri" w:cs="Arial"/>
          <w:b/>
          <w:sz w:val="26"/>
          <w:szCs w:val="26"/>
          <w:lang w:val="ro-RO"/>
        </w:rPr>
        <w:t xml:space="preserve"> criterion of ex-</w:t>
      </w:r>
      <w:r w:rsidR="007276E9" w:rsidRPr="00F07F1F">
        <w:rPr>
          <w:rFonts w:ascii="Calibri" w:hAnsi="Calibri" w:cs="Arial"/>
          <w:b/>
          <w:sz w:val="26"/>
          <w:szCs w:val="26"/>
          <w:lang w:val="ro-RO"/>
        </w:rPr>
        <w:t xml:space="preserve">ante conditionality </w:t>
      </w:r>
      <w:r w:rsidR="009F64E6" w:rsidRPr="00F07F1F">
        <w:rPr>
          <w:rFonts w:ascii="Calibri" w:hAnsi="Calibri" w:cs="Arial"/>
          <w:b/>
          <w:sz w:val="26"/>
          <w:szCs w:val="26"/>
          <w:lang w:val="ro-RO"/>
        </w:rPr>
        <w:t xml:space="preserve">on </w:t>
      </w:r>
      <w:r w:rsidR="007276E9" w:rsidRPr="00F07F1F">
        <w:rPr>
          <w:rFonts w:ascii="Calibri" w:hAnsi="Calibri" w:cs="Arial"/>
          <w:b/>
          <w:sz w:val="26"/>
          <w:szCs w:val="26"/>
          <w:lang w:val="ro-RO"/>
        </w:rPr>
        <w:t xml:space="preserve">transport </w:t>
      </w:r>
    </w:p>
    <w:tbl>
      <w:tblPr>
        <w:tblStyle w:val="TableGrid"/>
        <w:tblW w:w="15026" w:type="dxa"/>
        <w:tblInd w:w="250" w:type="dxa"/>
        <w:shd w:val="clear" w:color="auto" w:fill="DBE5F1" w:themeFill="accent1" w:themeFillTint="33"/>
        <w:tblLook w:val="04A0" w:firstRow="1" w:lastRow="0" w:firstColumn="1" w:lastColumn="0" w:noHBand="0" w:noVBand="1"/>
      </w:tblPr>
      <w:tblGrid>
        <w:gridCol w:w="15026"/>
      </w:tblGrid>
      <w:tr w:rsidR="00D7070D" w:rsidTr="006D062C">
        <w:tc>
          <w:tcPr>
            <w:tcW w:w="15026" w:type="dxa"/>
            <w:shd w:val="clear" w:color="auto" w:fill="DBE5F1" w:themeFill="accent1" w:themeFillTint="33"/>
          </w:tcPr>
          <w:p w:rsidR="00D7070D" w:rsidRPr="00D7070D" w:rsidRDefault="00D7070D" w:rsidP="00D7070D">
            <w:pPr>
              <w:autoSpaceDE w:val="0"/>
              <w:autoSpaceDN w:val="0"/>
              <w:adjustRightInd w:val="0"/>
              <w:jc w:val="both"/>
              <w:rPr>
                <w:rFonts w:ascii="Calibri" w:hAnsi="Calibri"/>
                <w:color w:val="000000"/>
                <w:szCs w:val="20"/>
                <w:lang w:val="ro-RO"/>
              </w:rPr>
            </w:pPr>
            <w:r w:rsidRPr="00D7070D">
              <w:rPr>
                <w:rFonts w:ascii="Calibri" w:hAnsi="Calibri"/>
                <w:b/>
                <w:color w:val="000000"/>
                <w:szCs w:val="20"/>
                <w:lang w:val="ro-RO"/>
              </w:rPr>
              <w:t>7.1. Road:</w:t>
            </w:r>
            <w:r w:rsidRPr="00D7070D">
              <w:rPr>
                <w:rFonts w:ascii="Calibri" w:hAnsi="Calibri"/>
                <w:color w:val="000000"/>
                <w:szCs w:val="20"/>
                <w:lang w:val="ro-RO"/>
              </w:rPr>
              <w:t xml:space="preserve"> The existence of a comprehensive transport plan or plans or framework or frameworks for transport investment</w:t>
            </w:r>
          </w:p>
          <w:p w:rsidR="00D7070D" w:rsidRPr="00D7070D" w:rsidRDefault="00D7070D" w:rsidP="00D7070D">
            <w:pPr>
              <w:autoSpaceDE w:val="0"/>
              <w:autoSpaceDN w:val="0"/>
              <w:adjustRightInd w:val="0"/>
              <w:jc w:val="both"/>
              <w:rPr>
                <w:rFonts w:ascii="Calibri" w:hAnsi="Calibri"/>
                <w:color w:val="000000"/>
                <w:szCs w:val="20"/>
                <w:lang w:val="ro-RO"/>
              </w:rPr>
            </w:pPr>
            <w:r w:rsidRPr="00D7070D">
              <w:rPr>
                <w:rFonts w:ascii="Calibri" w:hAnsi="Calibri"/>
                <w:b/>
                <w:color w:val="000000"/>
                <w:szCs w:val="20"/>
                <w:lang w:val="ro-RO"/>
              </w:rPr>
              <w:t>7.2 Railway:</w:t>
            </w:r>
            <w:r w:rsidRPr="00D7070D">
              <w:rPr>
                <w:rFonts w:ascii="Calibri" w:hAnsi="Calibri"/>
                <w:color w:val="000000"/>
                <w:szCs w:val="20"/>
                <w:lang w:val="ro-RO"/>
              </w:rPr>
              <w:t xml:space="preserve"> The existence within the comprehensive transport plan or plans or framework or frameworks of a specific section on railway development in accordance with the Member States’ institutional set-up(including concerning public transport at regional and local level) which supports infrastructure development and improves connectivity to the TEN-T comprehensive and core networks. The investments cover mobile assets, interoperability and capacity building.</w:t>
            </w:r>
          </w:p>
          <w:p w:rsidR="00D7070D" w:rsidRPr="00D7070D" w:rsidRDefault="00D7070D" w:rsidP="00D7070D">
            <w:pPr>
              <w:autoSpaceDE w:val="0"/>
              <w:autoSpaceDN w:val="0"/>
              <w:adjustRightInd w:val="0"/>
              <w:jc w:val="both"/>
              <w:rPr>
                <w:rFonts w:ascii="Calibri" w:hAnsi="Calibri"/>
                <w:color w:val="000000"/>
                <w:szCs w:val="20"/>
                <w:lang w:val="ro-RO"/>
              </w:rPr>
            </w:pPr>
            <w:r w:rsidRPr="00D7070D">
              <w:rPr>
                <w:rFonts w:ascii="Calibri" w:hAnsi="Calibri"/>
                <w:b/>
                <w:color w:val="000000"/>
                <w:szCs w:val="20"/>
                <w:lang w:val="ro-RO"/>
              </w:rPr>
              <w:t>7.3. Other modes of transport, including inland-waterways and maritime transport, ports, multimodal links and airport infrastructure:</w:t>
            </w:r>
            <w:r w:rsidRPr="00D7070D">
              <w:rPr>
                <w:rFonts w:ascii="Calibri" w:hAnsi="Calibri"/>
                <w:color w:val="000000"/>
                <w:szCs w:val="20"/>
                <w:lang w:val="ro-RO"/>
              </w:rPr>
              <w:t xml:space="preserve"> the existence within the comprehensive transport plan or plans or framework or frameworks of a specific section on inland-waterways and maritime transport, ports, multimodal links and airport infrastructure, which contribute to improving connectivity to the TEN-T comprehensive and core networks and to promoting sustainable regional and local mobility</w:t>
            </w:r>
          </w:p>
          <w:p w:rsidR="00D7070D" w:rsidRDefault="00D7070D" w:rsidP="007276E9">
            <w:pPr>
              <w:jc w:val="center"/>
              <w:rPr>
                <w:rFonts w:ascii="Calibri" w:hAnsi="Calibri" w:cs="Arial"/>
                <w:b/>
                <w:sz w:val="26"/>
                <w:szCs w:val="26"/>
                <w:lang w:val="ro-RO"/>
              </w:rPr>
            </w:pPr>
          </w:p>
        </w:tc>
      </w:tr>
    </w:tbl>
    <w:p w:rsidR="009F64E6" w:rsidRPr="00D7070D" w:rsidRDefault="009F64E6" w:rsidP="009F64E6">
      <w:pPr>
        <w:rPr>
          <w:sz w:val="10"/>
          <w:szCs w:val="10"/>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5"/>
        <w:gridCol w:w="9639"/>
        <w:gridCol w:w="1440"/>
        <w:gridCol w:w="1276"/>
      </w:tblGrid>
      <w:tr w:rsidR="007D0740" w:rsidRPr="00C768C5" w:rsidTr="0040322B">
        <w:trPr>
          <w:tblHeader/>
          <w:jc w:val="center"/>
        </w:trPr>
        <w:tc>
          <w:tcPr>
            <w:tcW w:w="2435" w:type="dxa"/>
            <w:tcBorders>
              <w:top w:val="single" w:sz="4" w:space="0" w:color="auto"/>
              <w:bottom w:val="single" w:sz="4" w:space="0" w:color="auto"/>
            </w:tcBorders>
            <w:shd w:val="clear" w:color="auto" w:fill="D9D9D9"/>
          </w:tcPr>
          <w:p w:rsidR="007D0740" w:rsidRPr="00C768C5" w:rsidRDefault="007D0740" w:rsidP="006750C3">
            <w:pPr>
              <w:spacing w:after="0" w:line="240" w:lineRule="auto"/>
              <w:jc w:val="center"/>
              <w:rPr>
                <w:rFonts w:ascii="Calibri" w:hAnsi="Calibri"/>
                <w:b/>
                <w:szCs w:val="20"/>
              </w:rPr>
            </w:pPr>
            <w:r w:rsidRPr="00C768C5">
              <w:rPr>
                <w:rFonts w:ascii="Calibri" w:hAnsi="Calibri"/>
                <w:b/>
                <w:szCs w:val="20"/>
              </w:rPr>
              <w:t>Conditionality</w:t>
            </w:r>
          </w:p>
          <w:p w:rsidR="007D0740" w:rsidRPr="00C768C5" w:rsidRDefault="007D0740" w:rsidP="006750C3">
            <w:pPr>
              <w:spacing w:after="0" w:line="240" w:lineRule="auto"/>
              <w:jc w:val="center"/>
              <w:rPr>
                <w:rFonts w:ascii="Calibri" w:hAnsi="Calibri"/>
                <w:b/>
                <w:szCs w:val="20"/>
              </w:rPr>
            </w:pPr>
            <w:r w:rsidRPr="00C768C5">
              <w:rPr>
                <w:rFonts w:ascii="Calibri" w:hAnsi="Calibri"/>
                <w:b/>
                <w:szCs w:val="20"/>
              </w:rPr>
              <w:t>Unfulfille</w:t>
            </w:r>
            <w:r>
              <w:rPr>
                <w:rFonts w:ascii="Calibri" w:hAnsi="Calibri"/>
                <w:b/>
                <w:szCs w:val="20"/>
              </w:rPr>
              <w:t>d/partially fulfilled criteria</w:t>
            </w:r>
          </w:p>
        </w:tc>
        <w:tc>
          <w:tcPr>
            <w:tcW w:w="9639" w:type="dxa"/>
            <w:tcBorders>
              <w:top w:val="single" w:sz="4" w:space="0" w:color="auto"/>
              <w:bottom w:val="single" w:sz="4" w:space="0" w:color="auto"/>
            </w:tcBorders>
            <w:shd w:val="clear" w:color="auto" w:fill="D9D9D9"/>
          </w:tcPr>
          <w:p w:rsidR="007D0740" w:rsidRPr="00C768C5" w:rsidRDefault="007D0740" w:rsidP="00682FFE">
            <w:pPr>
              <w:spacing w:after="120" w:line="240" w:lineRule="auto"/>
              <w:jc w:val="center"/>
              <w:rPr>
                <w:rFonts w:ascii="Calibri" w:hAnsi="Calibri"/>
                <w:b/>
                <w:szCs w:val="20"/>
              </w:rPr>
            </w:pPr>
            <w:r w:rsidRPr="00C768C5">
              <w:rPr>
                <w:rFonts w:ascii="Calibri" w:hAnsi="Calibri"/>
                <w:b/>
                <w:szCs w:val="20"/>
              </w:rPr>
              <w:t>Action</w:t>
            </w:r>
            <w:r>
              <w:rPr>
                <w:rFonts w:ascii="Calibri" w:hAnsi="Calibri"/>
                <w:b/>
                <w:szCs w:val="20"/>
              </w:rPr>
              <w:t>s taken to fulfil the criteria</w:t>
            </w:r>
          </w:p>
        </w:tc>
        <w:tc>
          <w:tcPr>
            <w:tcW w:w="1440" w:type="dxa"/>
            <w:tcBorders>
              <w:top w:val="single" w:sz="4" w:space="0" w:color="auto"/>
              <w:bottom w:val="single" w:sz="4" w:space="0" w:color="auto"/>
            </w:tcBorders>
            <w:shd w:val="clear" w:color="auto" w:fill="D9D9D9"/>
          </w:tcPr>
          <w:p w:rsidR="007D0740" w:rsidRPr="00C768C5" w:rsidRDefault="007D0740" w:rsidP="006750C3">
            <w:pPr>
              <w:spacing w:after="0" w:line="240" w:lineRule="auto"/>
              <w:jc w:val="center"/>
              <w:rPr>
                <w:rFonts w:ascii="Calibri" w:hAnsi="Calibri"/>
                <w:b/>
                <w:szCs w:val="20"/>
              </w:rPr>
            </w:pPr>
            <w:r w:rsidRPr="00C768C5">
              <w:rPr>
                <w:rFonts w:ascii="Calibri" w:hAnsi="Calibri"/>
                <w:b/>
                <w:szCs w:val="20"/>
              </w:rPr>
              <w:t>Deadlines</w:t>
            </w:r>
          </w:p>
        </w:tc>
        <w:tc>
          <w:tcPr>
            <w:tcW w:w="1276" w:type="dxa"/>
            <w:tcBorders>
              <w:top w:val="single" w:sz="4" w:space="0" w:color="auto"/>
              <w:bottom w:val="single" w:sz="4" w:space="0" w:color="auto"/>
            </w:tcBorders>
            <w:shd w:val="clear" w:color="auto" w:fill="D9D9D9"/>
          </w:tcPr>
          <w:p w:rsidR="007D0740" w:rsidRPr="00C768C5" w:rsidRDefault="007D0740" w:rsidP="006750C3">
            <w:pPr>
              <w:spacing w:after="0" w:line="240" w:lineRule="auto"/>
              <w:jc w:val="center"/>
              <w:rPr>
                <w:rFonts w:ascii="Calibri" w:hAnsi="Calibri"/>
                <w:b/>
                <w:szCs w:val="20"/>
              </w:rPr>
            </w:pPr>
            <w:r w:rsidRPr="00C768C5">
              <w:rPr>
                <w:rFonts w:ascii="Calibri" w:hAnsi="Calibri"/>
                <w:b/>
                <w:szCs w:val="20"/>
              </w:rPr>
              <w:t>Responsible body</w:t>
            </w:r>
          </w:p>
        </w:tc>
      </w:tr>
      <w:tr w:rsidR="007D0740" w:rsidRPr="00C768C5" w:rsidTr="0040322B">
        <w:trPr>
          <w:trHeight w:val="2365"/>
          <w:jc w:val="center"/>
        </w:trPr>
        <w:tc>
          <w:tcPr>
            <w:tcW w:w="2435" w:type="dxa"/>
            <w:vMerge w:val="restart"/>
            <w:tcBorders>
              <w:top w:val="single" w:sz="4" w:space="0" w:color="auto"/>
            </w:tcBorders>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i/>
                <w:iCs/>
                <w:szCs w:val="20"/>
              </w:rPr>
            </w:pPr>
            <w:r w:rsidRPr="00521077">
              <w:rPr>
                <w:rFonts w:asciiTheme="minorHAnsi" w:hAnsiTheme="minorHAnsi" w:cstheme="minorHAnsi"/>
                <w:i/>
                <w:iCs/>
                <w:szCs w:val="20"/>
              </w:rPr>
              <w:t xml:space="preserve">The existence of a comprehensive transport plan or plans or </w:t>
            </w:r>
            <w:r>
              <w:rPr>
                <w:rFonts w:asciiTheme="minorHAnsi" w:hAnsiTheme="minorHAnsi" w:cstheme="minorHAnsi"/>
                <w:i/>
                <w:iCs/>
                <w:szCs w:val="20"/>
              </w:rPr>
              <w:t>f</w:t>
            </w:r>
            <w:r w:rsidRPr="00521077">
              <w:rPr>
                <w:rFonts w:asciiTheme="minorHAnsi" w:hAnsiTheme="minorHAnsi" w:cstheme="minorHAnsi"/>
                <w:i/>
                <w:iCs/>
                <w:szCs w:val="20"/>
              </w:rPr>
              <w:t>ramework or frameworks for transport</w:t>
            </w:r>
            <w:r>
              <w:rPr>
                <w:rFonts w:asciiTheme="minorHAnsi" w:hAnsiTheme="minorHAnsi" w:cstheme="minorHAnsi"/>
                <w:i/>
                <w:iCs/>
                <w:szCs w:val="20"/>
              </w:rPr>
              <w:t xml:space="preserve"> </w:t>
            </w:r>
            <w:r w:rsidRPr="00521077">
              <w:rPr>
                <w:rFonts w:asciiTheme="minorHAnsi" w:hAnsiTheme="minorHAnsi" w:cstheme="minorHAnsi"/>
                <w:i/>
                <w:iCs/>
                <w:szCs w:val="20"/>
              </w:rPr>
              <w:t>investment which:</w:t>
            </w:r>
          </w:p>
          <w:p w:rsidR="007D0740" w:rsidRPr="00C768C5" w:rsidRDefault="007D0740" w:rsidP="0035188B">
            <w:pPr>
              <w:spacing w:after="0" w:line="240" w:lineRule="auto"/>
              <w:jc w:val="both"/>
              <w:rPr>
                <w:rFonts w:ascii="Calibri" w:hAnsi="Calibri"/>
                <w:b/>
                <w:szCs w:val="20"/>
              </w:rPr>
            </w:pPr>
          </w:p>
        </w:tc>
        <w:tc>
          <w:tcPr>
            <w:tcW w:w="9639" w:type="dxa"/>
            <w:tcBorders>
              <w:top w:val="single" w:sz="4" w:space="0" w:color="auto"/>
            </w:tcBorders>
            <w:shd w:val="clear" w:color="auto" w:fill="FFFFFF" w:themeFill="background1"/>
          </w:tcPr>
          <w:p w:rsidR="007D0740" w:rsidRPr="006A684F" w:rsidRDefault="007D0740" w:rsidP="00682FFE">
            <w:p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The General Transport Master Plan (GTMP) has been drafted in close cooperation with the main stakeholders, environmental authorities, and EC services, being negotiated with political actors in the Parliament (February – June 2015). GTMP will be approved through a legal act, after finalising technical discussion with EC and completion of SEA procedure.</w:t>
            </w:r>
          </w:p>
          <w:p w:rsidR="007D0740" w:rsidRPr="006A684F" w:rsidRDefault="007D0740" w:rsidP="00682FFE">
            <w:p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The GTMP development has started in April 2012, with technical assistance support. The final GTMP draft was issued in February 2015 but was commented upon by EC. A second version of the final draft was sent to EC services on 12 of May 2015.</w:t>
            </w:r>
          </w:p>
          <w:p w:rsidR="007D0740" w:rsidRPr="006A684F" w:rsidRDefault="007D0740" w:rsidP="00682FFE">
            <w:p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 xml:space="preserve">The GTMP covers all transport modes (road, rail, water, air, and intermodality), covering a comprehensive investment plan for transport sector until 2030. </w:t>
            </w:r>
          </w:p>
          <w:p w:rsidR="007D0740" w:rsidRPr="006A684F" w:rsidRDefault="007D0740" w:rsidP="00682FFE">
            <w:p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The GTMP’s provisions and instruments will continue to be used for other activities like:</w:t>
            </w:r>
          </w:p>
          <w:p w:rsidR="007D0740" w:rsidRPr="006A684F" w:rsidRDefault="007D0740" w:rsidP="00682FFE">
            <w:pPr>
              <w:pStyle w:val="ListParagraph"/>
              <w:numPr>
                <w:ilvl w:val="0"/>
                <w:numId w:val="23"/>
              </w:num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Performance agreements</w:t>
            </w:r>
          </w:p>
          <w:p w:rsidR="007D0740" w:rsidRPr="006A684F" w:rsidRDefault="007D0740" w:rsidP="00682FFE">
            <w:pPr>
              <w:pStyle w:val="ListParagraph"/>
              <w:numPr>
                <w:ilvl w:val="0"/>
                <w:numId w:val="23"/>
              </w:num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Transport modelling</w:t>
            </w:r>
          </w:p>
          <w:p w:rsidR="007D0740" w:rsidRPr="006A684F" w:rsidRDefault="007D0740" w:rsidP="00682FFE">
            <w:pPr>
              <w:pStyle w:val="ListParagraph"/>
              <w:numPr>
                <w:ilvl w:val="0"/>
                <w:numId w:val="23"/>
              </w:num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Policy testing and coordination</w:t>
            </w:r>
          </w:p>
        </w:tc>
        <w:tc>
          <w:tcPr>
            <w:tcW w:w="1440" w:type="dxa"/>
            <w:tcBorders>
              <w:top w:val="single" w:sz="4" w:space="0" w:color="auto"/>
            </w:tcBorders>
            <w:shd w:val="clear" w:color="auto" w:fill="FFFFFF" w:themeFill="background1"/>
          </w:tcPr>
          <w:p w:rsidR="007D0740" w:rsidRPr="00C768C5" w:rsidRDefault="007D0740" w:rsidP="00250CDF">
            <w:pPr>
              <w:spacing w:after="0" w:line="240" w:lineRule="auto"/>
              <w:jc w:val="center"/>
              <w:rPr>
                <w:rFonts w:ascii="Calibri" w:hAnsi="Calibri"/>
                <w:b/>
                <w:szCs w:val="20"/>
              </w:rPr>
            </w:pPr>
          </w:p>
        </w:tc>
        <w:tc>
          <w:tcPr>
            <w:tcW w:w="1276" w:type="dxa"/>
            <w:tcBorders>
              <w:top w:val="single" w:sz="4" w:space="0" w:color="auto"/>
            </w:tcBorders>
            <w:shd w:val="clear" w:color="auto" w:fill="FFFFFF" w:themeFill="background1"/>
          </w:tcPr>
          <w:p w:rsidR="007D0740" w:rsidRPr="00C768C5" w:rsidRDefault="007D0740" w:rsidP="006750C3">
            <w:pPr>
              <w:spacing w:after="0" w:line="240" w:lineRule="auto"/>
              <w:jc w:val="center"/>
              <w:rPr>
                <w:rFonts w:ascii="Calibri" w:hAnsi="Calibri"/>
                <w:b/>
                <w:szCs w:val="20"/>
              </w:rPr>
            </w:pPr>
            <w:r>
              <w:rPr>
                <w:rFonts w:ascii="Calibri" w:hAnsi="Calibri"/>
                <w:b/>
                <w:szCs w:val="20"/>
              </w:rPr>
              <w:t>MT</w:t>
            </w:r>
          </w:p>
        </w:tc>
      </w:tr>
      <w:tr w:rsidR="007D0740" w:rsidRPr="00C768C5" w:rsidTr="0040322B">
        <w:trPr>
          <w:trHeight w:val="138"/>
          <w:jc w:val="center"/>
        </w:trPr>
        <w:tc>
          <w:tcPr>
            <w:tcW w:w="2435" w:type="dxa"/>
            <w:vMerge/>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i/>
                <w:iCs/>
                <w:szCs w:val="20"/>
              </w:rPr>
            </w:pPr>
          </w:p>
        </w:tc>
        <w:tc>
          <w:tcPr>
            <w:tcW w:w="9639" w:type="dxa"/>
            <w:tcBorders>
              <w:top w:val="single" w:sz="4" w:space="0" w:color="auto"/>
            </w:tcBorders>
            <w:shd w:val="clear" w:color="auto" w:fill="FFFFFF" w:themeFill="background1"/>
          </w:tcPr>
          <w:p w:rsidR="007D0740" w:rsidRPr="006A684F" w:rsidRDefault="007D0740" w:rsidP="007D0740">
            <w:pPr>
              <w:pStyle w:val="ListParagraph"/>
              <w:numPr>
                <w:ilvl w:val="0"/>
                <w:numId w:val="24"/>
              </w:numPr>
              <w:autoSpaceDE w:val="0"/>
              <w:autoSpaceDN w:val="0"/>
              <w:adjustRightInd w:val="0"/>
              <w:spacing w:after="120" w:line="240" w:lineRule="auto"/>
              <w:jc w:val="both"/>
              <w:rPr>
                <w:rFonts w:asciiTheme="minorHAnsi" w:hAnsiTheme="minorHAnsi" w:cstheme="minorHAnsi"/>
                <w:b/>
                <w:iCs/>
                <w:szCs w:val="20"/>
                <w:lang w:val="ro-RO"/>
              </w:rPr>
            </w:pPr>
            <w:r w:rsidRPr="006A684F">
              <w:rPr>
                <w:rFonts w:asciiTheme="minorHAnsi" w:hAnsiTheme="minorHAnsi" w:cstheme="minorHAnsi"/>
                <w:b/>
                <w:iCs/>
                <w:szCs w:val="20"/>
                <w:lang w:val="ro-RO"/>
              </w:rPr>
              <w:t>Finalising and agreeing the final draft of the Gneral Transport Master Plan</w:t>
            </w:r>
          </w:p>
        </w:tc>
        <w:tc>
          <w:tcPr>
            <w:tcW w:w="1440" w:type="dxa"/>
            <w:tcBorders>
              <w:top w:val="single" w:sz="4" w:space="0" w:color="auto"/>
            </w:tcBorders>
            <w:shd w:val="clear" w:color="auto" w:fill="FFFFFF" w:themeFill="background1"/>
          </w:tcPr>
          <w:p w:rsidR="007D0740" w:rsidRDefault="007D0740" w:rsidP="006750C3">
            <w:pPr>
              <w:spacing w:after="0" w:line="240" w:lineRule="auto"/>
              <w:jc w:val="center"/>
              <w:rPr>
                <w:rFonts w:ascii="Calibri" w:hAnsi="Calibri"/>
                <w:b/>
                <w:szCs w:val="20"/>
              </w:rPr>
            </w:pPr>
            <w:r>
              <w:rPr>
                <w:rFonts w:ascii="Calibri" w:hAnsi="Calibri"/>
                <w:b/>
                <w:szCs w:val="20"/>
              </w:rPr>
              <w:t>July 2015</w:t>
            </w:r>
          </w:p>
        </w:tc>
        <w:tc>
          <w:tcPr>
            <w:tcW w:w="1276" w:type="dxa"/>
            <w:tcBorders>
              <w:top w:val="single" w:sz="4" w:space="0" w:color="auto"/>
            </w:tcBorders>
            <w:shd w:val="clear" w:color="auto" w:fill="FFFFFF" w:themeFill="background1"/>
          </w:tcPr>
          <w:p w:rsidR="007D0740" w:rsidRDefault="007D0740" w:rsidP="006750C3">
            <w:pPr>
              <w:spacing w:after="0" w:line="240" w:lineRule="auto"/>
              <w:jc w:val="center"/>
              <w:rPr>
                <w:rFonts w:ascii="Calibri" w:hAnsi="Calibri"/>
                <w:b/>
                <w:szCs w:val="20"/>
              </w:rPr>
            </w:pPr>
          </w:p>
        </w:tc>
      </w:tr>
      <w:tr w:rsidR="007D0740" w:rsidRPr="00C768C5" w:rsidTr="0040322B">
        <w:trPr>
          <w:trHeight w:val="340"/>
          <w:jc w:val="center"/>
        </w:trPr>
        <w:tc>
          <w:tcPr>
            <w:tcW w:w="2435" w:type="dxa"/>
            <w:vMerge/>
            <w:tcBorders>
              <w:bottom w:val="single" w:sz="4" w:space="0" w:color="auto"/>
            </w:tcBorders>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i/>
                <w:iCs/>
                <w:szCs w:val="20"/>
              </w:rPr>
            </w:pPr>
          </w:p>
        </w:tc>
        <w:tc>
          <w:tcPr>
            <w:tcW w:w="9639" w:type="dxa"/>
            <w:tcBorders>
              <w:top w:val="single" w:sz="4" w:space="0" w:color="auto"/>
            </w:tcBorders>
            <w:shd w:val="clear" w:color="auto" w:fill="FFFFFF" w:themeFill="background1"/>
          </w:tcPr>
          <w:p w:rsidR="007D0740" w:rsidRPr="006A684F" w:rsidRDefault="007D0740" w:rsidP="00250CDF">
            <w:pPr>
              <w:pStyle w:val="ListParagraph"/>
              <w:numPr>
                <w:ilvl w:val="0"/>
                <w:numId w:val="24"/>
              </w:numPr>
              <w:autoSpaceDE w:val="0"/>
              <w:autoSpaceDN w:val="0"/>
              <w:adjustRightInd w:val="0"/>
              <w:spacing w:after="120" w:line="240" w:lineRule="auto"/>
              <w:jc w:val="both"/>
              <w:rPr>
                <w:rFonts w:asciiTheme="minorHAnsi" w:hAnsiTheme="minorHAnsi" w:cstheme="minorHAnsi"/>
                <w:b/>
                <w:iCs/>
                <w:szCs w:val="20"/>
                <w:lang w:val="ro-RO"/>
              </w:rPr>
            </w:pPr>
            <w:r w:rsidRPr="006A684F">
              <w:rPr>
                <w:rFonts w:asciiTheme="minorHAnsi" w:hAnsiTheme="minorHAnsi" w:cstheme="minorHAnsi"/>
                <w:b/>
                <w:iCs/>
                <w:szCs w:val="20"/>
                <w:lang w:val="ro-RO"/>
              </w:rPr>
              <w:t>Approving the GTMP through a legal act</w:t>
            </w:r>
          </w:p>
        </w:tc>
        <w:tc>
          <w:tcPr>
            <w:tcW w:w="1440" w:type="dxa"/>
            <w:tcBorders>
              <w:top w:val="single" w:sz="4" w:space="0" w:color="auto"/>
            </w:tcBorders>
            <w:shd w:val="clear" w:color="auto" w:fill="FFFFFF" w:themeFill="background1"/>
          </w:tcPr>
          <w:p w:rsidR="007D0740" w:rsidRDefault="007D0740" w:rsidP="006750C3">
            <w:pPr>
              <w:spacing w:after="0" w:line="240" w:lineRule="auto"/>
              <w:jc w:val="center"/>
              <w:rPr>
                <w:rFonts w:ascii="Calibri" w:hAnsi="Calibri"/>
                <w:b/>
                <w:szCs w:val="20"/>
              </w:rPr>
            </w:pPr>
            <w:r>
              <w:rPr>
                <w:rFonts w:ascii="Calibri" w:hAnsi="Calibri"/>
                <w:b/>
                <w:szCs w:val="20"/>
              </w:rPr>
              <w:t>December 2015</w:t>
            </w:r>
          </w:p>
        </w:tc>
        <w:tc>
          <w:tcPr>
            <w:tcW w:w="1276" w:type="dxa"/>
            <w:tcBorders>
              <w:top w:val="single" w:sz="4" w:space="0" w:color="auto"/>
            </w:tcBorders>
            <w:shd w:val="clear" w:color="auto" w:fill="FFFFFF" w:themeFill="background1"/>
          </w:tcPr>
          <w:p w:rsidR="007D0740" w:rsidRDefault="007D0740" w:rsidP="006750C3">
            <w:pPr>
              <w:spacing w:after="0" w:line="240" w:lineRule="auto"/>
              <w:jc w:val="center"/>
              <w:rPr>
                <w:rFonts w:ascii="Calibri" w:hAnsi="Calibri"/>
                <w:b/>
                <w:szCs w:val="20"/>
              </w:rPr>
            </w:pPr>
          </w:p>
        </w:tc>
      </w:tr>
      <w:tr w:rsidR="007D0740" w:rsidRPr="00C768C5" w:rsidTr="0040322B">
        <w:trPr>
          <w:jc w:val="center"/>
        </w:trPr>
        <w:tc>
          <w:tcPr>
            <w:tcW w:w="2435" w:type="dxa"/>
            <w:vMerge w:val="restart"/>
            <w:tcBorders>
              <w:top w:val="single" w:sz="4" w:space="0" w:color="auto"/>
            </w:tcBorders>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i/>
                <w:iCs/>
                <w:szCs w:val="20"/>
              </w:rPr>
            </w:pPr>
            <w:r w:rsidRPr="00521077">
              <w:rPr>
                <w:rFonts w:asciiTheme="minorHAnsi" w:hAnsiTheme="minorHAnsi" w:cstheme="minorHAnsi"/>
                <w:szCs w:val="20"/>
              </w:rPr>
              <w:t xml:space="preserve">– </w:t>
            </w:r>
            <w:r w:rsidRPr="00521077">
              <w:rPr>
                <w:rFonts w:asciiTheme="minorHAnsi" w:hAnsiTheme="minorHAnsi" w:cstheme="minorHAnsi"/>
                <w:i/>
                <w:iCs/>
                <w:szCs w:val="20"/>
              </w:rPr>
              <w:t>complies with legal requirements for str</w:t>
            </w:r>
            <w:r>
              <w:rPr>
                <w:rFonts w:asciiTheme="minorHAnsi" w:hAnsiTheme="minorHAnsi" w:cstheme="minorHAnsi"/>
                <w:i/>
                <w:iCs/>
                <w:szCs w:val="20"/>
              </w:rPr>
              <w:t>ategic environmental assessment</w:t>
            </w:r>
            <w:r w:rsidRPr="00521077">
              <w:rPr>
                <w:rFonts w:asciiTheme="minorHAnsi" w:hAnsiTheme="minorHAnsi" w:cstheme="minorHAnsi"/>
                <w:i/>
                <w:iCs/>
                <w:szCs w:val="20"/>
              </w:rPr>
              <w:t>:</w:t>
            </w:r>
          </w:p>
        </w:tc>
        <w:tc>
          <w:tcPr>
            <w:tcW w:w="9639" w:type="dxa"/>
            <w:tcBorders>
              <w:top w:val="single" w:sz="4" w:space="0" w:color="auto"/>
            </w:tcBorders>
            <w:shd w:val="clear" w:color="auto" w:fill="FFFFFF" w:themeFill="background1"/>
          </w:tcPr>
          <w:p w:rsidR="007D0740" w:rsidRPr="00941D08" w:rsidRDefault="007D0740" w:rsidP="00682FFE">
            <w:pPr>
              <w:autoSpaceDE w:val="0"/>
              <w:autoSpaceDN w:val="0"/>
              <w:adjustRightInd w:val="0"/>
              <w:spacing w:after="120" w:line="240" w:lineRule="auto"/>
              <w:jc w:val="both"/>
              <w:rPr>
                <w:rFonts w:asciiTheme="minorHAnsi" w:hAnsiTheme="minorHAnsi" w:cstheme="minorHAnsi"/>
                <w:iCs/>
                <w:color w:val="000000" w:themeColor="text1"/>
                <w:szCs w:val="20"/>
              </w:rPr>
            </w:pPr>
            <w:r w:rsidRPr="00941D08">
              <w:rPr>
                <w:rFonts w:asciiTheme="minorHAnsi" w:hAnsiTheme="minorHAnsi" w:cstheme="minorHAnsi"/>
                <w:iCs/>
                <w:color w:val="000000" w:themeColor="text1"/>
                <w:szCs w:val="20"/>
              </w:rPr>
              <w:t xml:space="preserve">A working group was set up in order to elaborate the Environmental Report, which decided on the level of details and to be presented in the draft report, as well as on the analysis of the main effects of the plan. </w:t>
            </w:r>
          </w:p>
          <w:p w:rsidR="007D0740" w:rsidRPr="00941D08" w:rsidRDefault="007D0740" w:rsidP="00682FFE">
            <w:pPr>
              <w:autoSpaceDE w:val="0"/>
              <w:autoSpaceDN w:val="0"/>
              <w:adjustRightInd w:val="0"/>
              <w:spacing w:after="120" w:line="240" w:lineRule="auto"/>
              <w:jc w:val="both"/>
              <w:rPr>
                <w:rFonts w:asciiTheme="minorHAnsi" w:hAnsiTheme="minorHAnsi" w:cstheme="minorHAnsi"/>
                <w:iCs/>
                <w:color w:val="000000" w:themeColor="text1"/>
                <w:szCs w:val="20"/>
              </w:rPr>
            </w:pPr>
            <w:r w:rsidRPr="00941D08">
              <w:rPr>
                <w:rFonts w:asciiTheme="minorHAnsi" w:hAnsiTheme="minorHAnsi" w:cstheme="minorHAnsi"/>
                <w:iCs/>
                <w:color w:val="000000" w:themeColor="text1"/>
                <w:szCs w:val="20"/>
              </w:rPr>
              <w:t>The draft report was approved within the meeting of the working group held in 21 October 2014 and published in November 2014.</w:t>
            </w:r>
          </w:p>
        </w:tc>
        <w:tc>
          <w:tcPr>
            <w:tcW w:w="1440" w:type="dxa"/>
            <w:tcBorders>
              <w:top w:val="single" w:sz="4" w:space="0" w:color="auto"/>
            </w:tcBorders>
            <w:shd w:val="clear" w:color="auto" w:fill="FFFFFF" w:themeFill="background1"/>
          </w:tcPr>
          <w:p w:rsidR="007D0740" w:rsidRPr="00682FFE" w:rsidRDefault="007D0740" w:rsidP="00682FFE">
            <w:pPr>
              <w:spacing w:after="0" w:line="240" w:lineRule="auto"/>
              <w:jc w:val="center"/>
              <w:rPr>
                <w:rFonts w:ascii="Calibri" w:hAnsi="Calibri"/>
                <w:b/>
                <w:szCs w:val="20"/>
              </w:rPr>
            </w:pPr>
            <w:r w:rsidRPr="00682FFE">
              <w:rPr>
                <w:rFonts w:ascii="Calibri" w:hAnsi="Calibri"/>
                <w:b/>
                <w:szCs w:val="20"/>
              </w:rPr>
              <w:t>November 2014</w:t>
            </w:r>
            <w:r>
              <w:rPr>
                <w:rFonts w:ascii="Calibri" w:hAnsi="Calibri"/>
                <w:b/>
                <w:szCs w:val="20"/>
              </w:rPr>
              <w:t xml:space="preserve"> / fulfilled</w:t>
            </w:r>
          </w:p>
          <w:p w:rsidR="007D0740" w:rsidRPr="00C768C5" w:rsidRDefault="007D0740" w:rsidP="00682FFE">
            <w:pPr>
              <w:spacing w:after="0" w:line="240" w:lineRule="auto"/>
              <w:jc w:val="center"/>
              <w:rPr>
                <w:rFonts w:ascii="Calibri" w:hAnsi="Calibri"/>
                <w:b/>
                <w:szCs w:val="20"/>
              </w:rPr>
            </w:pPr>
          </w:p>
        </w:tc>
        <w:tc>
          <w:tcPr>
            <w:tcW w:w="1276" w:type="dxa"/>
            <w:tcBorders>
              <w:top w:val="single" w:sz="4" w:space="0" w:color="auto"/>
            </w:tcBorders>
            <w:shd w:val="clear" w:color="auto" w:fill="FFFFFF" w:themeFill="background1"/>
          </w:tcPr>
          <w:p w:rsidR="007D0740" w:rsidRPr="00C768C5" w:rsidRDefault="007D0740" w:rsidP="006750C3">
            <w:pPr>
              <w:spacing w:after="0" w:line="240" w:lineRule="auto"/>
              <w:jc w:val="center"/>
              <w:rPr>
                <w:rFonts w:ascii="Calibri" w:hAnsi="Calibri"/>
                <w:b/>
                <w:szCs w:val="20"/>
              </w:rPr>
            </w:pPr>
            <w:r>
              <w:rPr>
                <w:rFonts w:ascii="Calibri" w:hAnsi="Calibri"/>
                <w:b/>
                <w:szCs w:val="20"/>
              </w:rPr>
              <w:t>MT</w:t>
            </w:r>
          </w:p>
        </w:tc>
      </w:tr>
      <w:tr w:rsidR="007D0740" w:rsidRPr="00C768C5" w:rsidTr="0040322B">
        <w:trPr>
          <w:jc w:val="center"/>
        </w:trPr>
        <w:tc>
          <w:tcPr>
            <w:tcW w:w="2435" w:type="dxa"/>
            <w:vMerge/>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szCs w:val="20"/>
              </w:rPr>
            </w:pPr>
          </w:p>
        </w:tc>
        <w:tc>
          <w:tcPr>
            <w:tcW w:w="9639" w:type="dxa"/>
            <w:tcBorders>
              <w:top w:val="single" w:sz="4" w:space="0" w:color="auto"/>
              <w:bottom w:val="single" w:sz="4" w:space="0" w:color="auto"/>
            </w:tcBorders>
            <w:shd w:val="clear" w:color="auto" w:fill="FFFFFF" w:themeFill="background1"/>
          </w:tcPr>
          <w:p w:rsidR="007D0740" w:rsidRPr="00941D08" w:rsidRDefault="007D0740" w:rsidP="00682FFE">
            <w:pPr>
              <w:autoSpaceDE w:val="0"/>
              <w:autoSpaceDN w:val="0"/>
              <w:adjustRightInd w:val="0"/>
              <w:spacing w:after="120" w:line="240" w:lineRule="auto"/>
              <w:jc w:val="both"/>
              <w:rPr>
                <w:rFonts w:asciiTheme="minorHAnsi" w:hAnsiTheme="minorHAnsi" w:cstheme="minorHAnsi"/>
                <w:iCs/>
                <w:color w:val="000000" w:themeColor="text1"/>
                <w:szCs w:val="20"/>
              </w:rPr>
            </w:pPr>
            <w:r w:rsidRPr="00941D08">
              <w:rPr>
                <w:rFonts w:asciiTheme="minorHAnsi" w:hAnsiTheme="minorHAnsi" w:cstheme="minorHAnsi"/>
                <w:iCs/>
                <w:color w:val="000000" w:themeColor="text1"/>
                <w:szCs w:val="20"/>
              </w:rPr>
              <w:t>The draft GTMP has been made available to the public in its various stages (October 2013, April 2014, September &amp;October 2014) and the environmental report and appropriate assessment study in November 2014. The conclusions of the appropriate assessment study (approved by the Ministry of Environment through the address No</w:t>
            </w:r>
            <w:r w:rsidRPr="00941D08">
              <w:rPr>
                <w:rFonts w:asciiTheme="minorHAnsi" w:hAnsiTheme="minorHAnsi" w:cs="Arial"/>
                <w:color w:val="000000" w:themeColor="text1"/>
                <w:szCs w:val="20"/>
                <w:lang w:val="en-US"/>
              </w:rPr>
              <w:t>16724/AJ/21.10.2014).</w:t>
            </w:r>
          </w:p>
          <w:p w:rsidR="007D0740" w:rsidRPr="00941D08" w:rsidRDefault="0017379F" w:rsidP="00682FFE">
            <w:pPr>
              <w:autoSpaceDE w:val="0"/>
              <w:autoSpaceDN w:val="0"/>
              <w:adjustRightInd w:val="0"/>
              <w:spacing w:after="120" w:line="240" w:lineRule="auto"/>
              <w:rPr>
                <w:rFonts w:asciiTheme="minorHAnsi" w:hAnsiTheme="minorHAnsi" w:cstheme="minorHAnsi"/>
                <w:color w:val="000000" w:themeColor="text1"/>
                <w:szCs w:val="20"/>
              </w:rPr>
            </w:pPr>
            <w:hyperlink r:id="rId8" w:history="1">
              <w:r w:rsidR="007D0740" w:rsidRPr="00941D08">
                <w:rPr>
                  <w:rStyle w:val="Hyperlink"/>
                  <w:rFonts w:asciiTheme="minorHAnsi" w:hAnsiTheme="minorHAnsi" w:cstheme="minorHAnsi"/>
                  <w:color w:val="000000" w:themeColor="text1"/>
                  <w:szCs w:val="20"/>
                </w:rPr>
                <w:t>http://www.mt.ro/web14/documente/master_plan/RM%20MP%20I.pdf</w:t>
              </w:r>
            </w:hyperlink>
          </w:p>
          <w:p w:rsidR="007D0740" w:rsidRPr="00941D08" w:rsidRDefault="0017379F" w:rsidP="00682FFE">
            <w:pPr>
              <w:autoSpaceDE w:val="0"/>
              <w:autoSpaceDN w:val="0"/>
              <w:adjustRightInd w:val="0"/>
              <w:spacing w:after="120" w:line="240" w:lineRule="auto"/>
              <w:rPr>
                <w:rFonts w:asciiTheme="minorHAnsi" w:hAnsiTheme="minorHAnsi" w:cstheme="minorHAnsi"/>
                <w:color w:val="000000" w:themeColor="text1"/>
                <w:szCs w:val="20"/>
              </w:rPr>
            </w:pPr>
            <w:hyperlink r:id="rId9" w:history="1">
              <w:r w:rsidR="007D0740" w:rsidRPr="00941D08">
                <w:rPr>
                  <w:rStyle w:val="Hyperlink"/>
                  <w:rFonts w:asciiTheme="minorHAnsi" w:hAnsiTheme="minorHAnsi" w:cstheme="minorHAnsi"/>
                  <w:color w:val="000000" w:themeColor="text1"/>
                  <w:szCs w:val="20"/>
                </w:rPr>
                <w:t>http://www.ampost.ro/fisiere/pagini_fisiere/14.10.01_Master_Plan_Report.pdf</w:t>
              </w:r>
            </w:hyperlink>
          </w:p>
          <w:p w:rsidR="007D0740" w:rsidRPr="00941D08" w:rsidRDefault="007D0740" w:rsidP="00682FFE">
            <w:pPr>
              <w:autoSpaceDE w:val="0"/>
              <w:autoSpaceDN w:val="0"/>
              <w:adjustRightInd w:val="0"/>
              <w:spacing w:after="120" w:line="240" w:lineRule="auto"/>
              <w:jc w:val="both"/>
              <w:rPr>
                <w:rFonts w:asciiTheme="minorHAnsi" w:hAnsiTheme="minorHAnsi" w:cstheme="minorHAnsi"/>
                <w:color w:val="000000" w:themeColor="text1"/>
                <w:szCs w:val="20"/>
              </w:rPr>
            </w:pPr>
            <w:r w:rsidRPr="00941D08">
              <w:rPr>
                <w:rFonts w:asciiTheme="minorHAnsi" w:hAnsiTheme="minorHAnsi" w:cstheme="minorHAnsi"/>
                <w:color w:val="000000" w:themeColor="text1"/>
                <w:szCs w:val="20"/>
              </w:rPr>
              <w:t>The public debate on the draft GTMP and Environmental Report was published on 7 November 2014. The public debate will be organised on 12 January 2015.</w:t>
            </w:r>
          </w:p>
          <w:p w:rsidR="007D0740" w:rsidRPr="00941D08" w:rsidRDefault="0017379F" w:rsidP="00682FFE">
            <w:pPr>
              <w:autoSpaceDE w:val="0"/>
              <w:autoSpaceDN w:val="0"/>
              <w:adjustRightInd w:val="0"/>
              <w:spacing w:after="120" w:line="240" w:lineRule="auto"/>
              <w:rPr>
                <w:rFonts w:asciiTheme="minorHAnsi" w:hAnsiTheme="minorHAnsi" w:cstheme="minorHAnsi"/>
                <w:color w:val="000000" w:themeColor="text1"/>
                <w:szCs w:val="20"/>
              </w:rPr>
            </w:pPr>
            <w:hyperlink r:id="rId10" w:history="1">
              <w:r w:rsidR="007D0740" w:rsidRPr="00941D08">
                <w:rPr>
                  <w:rStyle w:val="Hyperlink"/>
                  <w:rFonts w:asciiTheme="minorHAnsi" w:hAnsiTheme="minorHAnsi" w:cstheme="minorHAnsi"/>
                  <w:color w:val="000000" w:themeColor="text1"/>
                  <w:szCs w:val="20"/>
                </w:rPr>
                <w:t>http://www.mt.ro/web14/strategia-in-transporturi/master-plan-general-transport/anunturi</w:t>
              </w:r>
            </w:hyperlink>
          </w:p>
          <w:p w:rsidR="007D0740" w:rsidRPr="00941D08" w:rsidRDefault="0017379F" w:rsidP="00682FFE">
            <w:pPr>
              <w:autoSpaceDE w:val="0"/>
              <w:autoSpaceDN w:val="0"/>
              <w:adjustRightInd w:val="0"/>
              <w:spacing w:after="120" w:line="240" w:lineRule="auto"/>
              <w:rPr>
                <w:rFonts w:asciiTheme="minorHAnsi" w:hAnsiTheme="minorHAnsi" w:cstheme="minorHAnsi"/>
                <w:color w:val="000000" w:themeColor="text1"/>
                <w:szCs w:val="20"/>
              </w:rPr>
            </w:pPr>
            <w:hyperlink r:id="rId11" w:history="1">
              <w:r w:rsidR="007D0740" w:rsidRPr="00941D08">
                <w:rPr>
                  <w:rStyle w:val="Hyperlink"/>
                  <w:rFonts w:asciiTheme="minorHAnsi" w:hAnsiTheme="minorHAnsi" w:cstheme="minorHAnsi"/>
                  <w:color w:val="000000" w:themeColor="text1"/>
                  <w:szCs w:val="20"/>
                </w:rPr>
                <w:t>http://mmediu.ro/new/?page_id=1668</w:t>
              </w:r>
            </w:hyperlink>
          </w:p>
          <w:p w:rsidR="007D0740" w:rsidRPr="003A7A59" w:rsidRDefault="007D0740" w:rsidP="00682FFE">
            <w:pPr>
              <w:autoSpaceDE w:val="0"/>
              <w:autoSpaceDN w:val="0"/>
              <w:adjustRightInd w:val="0"/>
              <w:spacing w:after="120" w:line="240" w:lineRule="auto"/>
              <w:jc w:val="both"/>
              <w:rPr>
                <w:rFonts w:asciiTheme="minorHAnsi" w:hAnsiTheme="minorHAnsi" w:cstheme="minorHAnsi"/>
                <w:iCs/>
                <w:color w:val="000000" w:themeColor="text1"/>
                <w:szCs w:val="20"/>
              </w:rPr>
            </w:pPr>
            <w:r w:rsidRPr="00941D08">
              <w:rPr>
                <w:rFonts w:asciiTheme="minorHAnsi" w:hAnsiTheme="minorHAnsi" w:cstheme="minorHAnsi"/>
                <w:iCs/>
                <w:color w:val="000000" w:themeColor="text1"/>
                <w:szCs w:val="20"/>
              </w:rPr>
              <w:t xml:space="preserve">The environmental report presents and analysis of the possible </w:t>
            </w:r>
            <w:r w:rsidRPr="00941D08">
              <w:rPr>
                <w:rFonts w:asciiTheme="minorHAnsi" w:hAnsiTheme="minorHAnsi" w:cstheme="minorHAnsi"/>
                <w:color w:val="000000" w:themeColor="text1"/>
                <w:szCs w:val="20"/>
              </w:rPr>
              <w:t>transboundary effects</w:t>
            </w:r>
            <w:r w:rsidRPr="00941D08">
              <w:rPr>
                <w:rFonts w:asciiTheme="minorHAnsi" w:hAnsiTheme="minorHAnsi" w:cstheme="minorHAnsi"/>
                <w:iCs/>
                <w:color w:val="000000" w:themeColor="text1"/>
                <w:szCs w:val="20"/>
              </w:rPr>
              <w:t xml:space="preserve"> of the GTMP. The report has concluded that the environmental information available at the drafting stage (environmental agreements, decisions stages framing) shows that none of the projects identified as having possible </w:t>
            </w:r>
            <w:r w:rsidRPr="00941D08">
              <w:rPr>
                <w:rFonts w:asciiTheme="minorHAnsi" w:hAnsiTheme="minorHAnsi" w:cstheme="minorHAnsi"/>
                <w:color w:val="000000" w:themeColor="text1"/>
                <w:szCs w:val="20"/>
              </w:rPr>
              <w:t>transboundary effects</w:t>
            </w:r>
            <w:r w:rsidRPr="00941D08">
              <w:rPr>
                <w:rFonts w:asciiTheme="minorHAnsi" w:hAnsiTheme="minorHAnsi" w:cstheme="minorHAnsi"/>
                <w:iCs/>
                <w:color w:val="000000" w:themeColor="text1"/>
                <w:szCs w:val="20"/>
              </w:rPr>
              <w:t xml:space="preserve"> does not induce a significant negative impact in context transboundary environmental and human health.</w:t>
            </w:r>
          </w:p>
        </w:tc>
        <w:tc>
          <w:tcPr>
            <w:tcW w:w="1440" w:type="dxa"/>
            <w:tcBorders>
              <w:top w:val="single" w:sz="4" w:space="0" w:color="auto"/>
              <w:bottom w:val="single" w:sz="4" w:space="0" w:color="auto"/>
            </w:tcBorders>
            <w:shd w:val="clear" w:color="auto" w:fill="FFFFFF" w:themeFill="background1"/>
          </w:tcPr>
          <w:p w:rsidR="007D0740" w:rsidRPr="00682FFE" w:rsidRDefault="007D0740" w:rsidP="00682FFE">
            <w:pPr>
              <w:autoSpaceDE w:val="0"/>
              <w:autoSpaceDN w:val="0"/>
              <w:adjustRightInd w:val="0"/>
              <w:jc w:val="center"/>
              <w:rPr>
                <w:rFonts w:asciiTheme="minorHAnsi" w:hAnsiTheme="minorHAnsi" w:cstheme="minorHAnsi"/>
                <w:b/>
                <w:szCs w:val="20"/>
              </w:rPr>
            </w:pPr>
            <w:r w:rsidRPr="00682FFE">
              <w:rPr>
                <w:rFonts w:asciiTheme="minorHAnsi" w:hAnsiTheme="minorHAnsi" w:cstheme="minorHAnsi"/>
                <w:b/>
                <w:szCs w:val="20"/>
              </w:rPr>
              <w:t>January 2015</w:t>
            </w:r>
            <w:r>
              <w:rPr>
                <w:rFonts w:asciiTheme="minorHAnsi" w:hAnsiTheme="minorHAnsi" w:cstheme="minorHAnsi"/>
                <w:b/>
                <w:szCs w:val="20"/>
              </w:rPr>
              <w:t>/</w:t>
            </w:r>
            <w:r>
              <w:rPr>
                <w:rFonts w:ascii="Calibri" w:hAnsi="Calibri"/>
                <w:b/>
                <w:szCs w:val="20"/>
              </w:rPr>
              <w:t xml:space="preserve"> fulfilled</w:t>
            </w:r>
          </w:p>
          <w:p w:rsidR="007D0740" w:rsidRPr="00682FFE" w:rsidRDefault="007D0740" w:rsidP="00682FFE">
            <w:pPr>
              <w:spacing w:after="0" w:line="240" w:lineRule="auto"/>
              <w:jc w:val="center"/>
              <w:rPr>
                <w:rFonts w:ascii="Calibri" w:hAnsi="Calibri"/>
                <w:b/>
                <w:szCs w:val="20"/>
              </w:rPr>
            </w:pPr>
          </w:p>
        </w:tc>
        <w:tc>
          <w:tcPr>
            <w:tcW w:w="1276" w:type="dxa"/>
            <w:tcBorders>
              <w:top w:val="single" w:sz="4" w:space="0" w:color="auto"/>
              <w:bottom w:val="single" w:sz="4" w:space="0" w:color="auto"/>
            </w:tcBorders>
            <w:shd w:val="clear" w:color="auto" w:fill="FFFFFF" w:themeFill="background1"/>
          </w:tcPr>
          <w:p w:rsidR="007D0740" w:rsidRPr="00C768C5" w:rsidRDefault="007D0740" w:rsidP="006750C3">
            <w:pPr>
              <w:spacing w:after="0" w:line="240" w:lineRule="auto"/>
              <w:jc w:val="center"/>
              <w:rPr>
                <w:rFonts w:ascii="Calibri" w:hAnsi="Calibri"/>
                <w:b/>
                <w:szCs w:val="20"/>
              </w:rPr>
            </w:pPr>
            <w:r>
              <w:rPr>
                <w:rFonts w:ascii="Calibri" w:hAnsi="Calibri"/>
                <w:b/>
                <w:szCs w:val="20"/>
              </w:rPr>
              <w:t>MT</w:t>
            </w:r>
          </w:p>
        </w:tc>
      </w:tr>
      <w:tr w:rsidR="007D0740" w:rsidRPr="00C768C5" w:rsidTr="0040322B">
        <w:trPr>
          <w:trHeight w:val="1071"/>
          <w:jc w:val="center"/>
        </w:trPr>
        <w:tc>
          <w:tcPr>
            <w:tcW w:w="2435" w:type="dxa"/>
            <w:vMerge/>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szCs w:val="20"/>
              </w:rPr>
            </w:pPr>
          </w:p>
        </w:tc>
        <w:tc>
          <w:tcPr>
            <w:tcW w:w="9639" w:type="dxa"/>
            <w:tcBorders>
              <w:top w:val="single" w:sz="4" w:space="0" w:color="auto"/>
            </w:tcBorders>
            <w:shd w:val="clear" w:color="auto" w:fill="FFFFFF" w:themeFill="background1"/>
          </w:tcPr>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iCs/>
                <w:szCs w:val="20"/>
              </w:rPr>
              <w:t xml:space="preserve">The recommendations of the </w:t>
            </w:r>
            <w:r w:rsidRPr="006A684F">
              <w:rPr>
                <w:rFonts w:asciiTheme="minorHAnsi" w:hAnsiTheme="minorHAnsi" w:cstheme="minorHAnsi"/>
                <w:szCs w:val="20"/>
              </w:rPr>
              <w:t>environmental report have been taken into account during the preparation of the plan. The opinions expressed in the relevant consultations, the appropriate measures for preventing and reducing the possible negative effects as well as the monitoring measures will be included in the final draft of the GTMP.</w:t>
            </w:r>
          </w:p>
        </w:tc>
        <w:tc>
          <w:tcPr>
            <w:tcW w:w="1440" w:type="dxa"/>
            <w:tcBorders>
              <w:top w:val="single" w:sz="4" w:space="0" w:color="auto"/>
            </w:tcBorders>
            <w:shd w:val="clear" w:color="auto" w:fill="FFFFFF" w:themeFill="background1"/>
          </w:tcPr>
          <w:p w:rsidR="007D0740" w:rsidRPr="006A684F" w:rsidRDefault="007D0740" w:rsidP="007D0740">
            <w:pPr>
              <w:autoSpaceDE w:val="0"/>
              <w:autoSpaceDN w:val="0"/>
              <w:adjustRightInd w:val="0"/>
              <w:jc w:val="center"/>
              <w:rPr>
                <w:rFonts w:asciiTheme="minorHAnsi" w:hAnsiTheme="minorHAnsi" w:cstheme="minorHAnsi"/>
                <w:b/>
                <w:szCs w:val="20"/>
              </w:rPr>
            </w:pPr>
            <w:r w:rsidRPr="006A684F">
              <w:rPr>
                <w:rFonts w:asciiTheme="minorHAnsi" w:hAnsiTheme="minorHAnsi" w:cstheme="minorHAnsi"/>
                <w:b/>
                <w:szCs w:val="20"/>
              </w:rPr>
              <w:t>July 2015</w:t>
            </w:r>
          </w:p>
        </w:tc>
        <w:tc>
          <w:tcPr>
            <w:tcW w:w="1276" w:type="dxa"/>
            <w:tcBorders>
              <w:top w:val="single" w:sz="4" w:space="0" w:color="auto"/>
            </w:tcBorders>
            <w:shd w:val="clear" w:color="auto" w:fill="FFFFFF" w:themeFill="background1"/>
          </w:tcPr>
          <w:p w:rsidR="007D0740" w:rsidRPr="006A684F" w:rsidRDefault="007D0740" w:rsidP="006750C3">
            <w:pPr>
              <w:spacing w:after="0" w:line="240" w:lineRule="auto"/>
              <w:jc w:val="center"/>
              <w:rPr>
                <w:rFonts w:ascii="Calibri" w:hAnsi="Calibri"/>
                <w:b/>
                <w:szCs w:val="20"/>
              </w:rPr>
            </w:pPr>
            <w:r w:rsidRPr="006A684F">
              <w:rPr>
                <w:rFonts w:ascii="Calibri" w:hAnsi="Calibri"/>
                <w:b/>
                <w:szCs w:val="20"/>
              </w:rPr>
              <w:t>MT</w:t>
            </w:r>
          </w:p>
        </w:tc>
      </w:tr>
      <w:tr w:rsidR="007D0740" w:rsidRPr="00C768C5" w:rsidTr="0040322B">
        <w:trPr>
          <w:jc w:val="center"/>
        </w:trPr>
        <w:tc>
          <w:tcPr>
            <w:tcW w:w="2435" w:type="dxa"/>
            <w:vMerge/>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szCs w:val="20"/>
              </w:rPr>
            </w:pPr>
          </w:p>
        </w:tc>
        <w:tc>
          <w:tcPr>
            <w:tcW w:w="9639" w:type="dxa"/>
            <w:tcBorders>
              <w:top w:val="single" w:sz="4" w:space="0" w:color="auto"/>
            </w:tcBorders>
            <w:shd w:val="clear" w:color="auto" w:fill="FFFFFF" w:themeFill="background1"/>
          </w:tcPr>
          <w:p w:rsidR="007D0740" w:rsidRPr="006A684F" w:rsidRDefault="007D0740" w:rsidP="00682FFE">
            <w:pPr>
              <w:autoSpaceDE w:val="0"/>
              <w:autoSpaceDN w:val="0"/>
              <w:adjustRightInd w:val="0"/>
              <w:spacing w:after="120" w:line="240" w:lineRule="auto"/>
              <w:jc w:val="both"/>
              <w:rPr>
                <w:rFonts w:asciiTheme="minorHAnsi" w:hAnsiTheme="minorHAnsi" w:cstheme="minorHAnsi"/>
                <w:iCs/>
                <w:szCs w:val="20"/>
              </w:rPr>
            </w:pPr>
            <w:r w:rsidRPr="006A684F">
              <w:rPr>
                <w:rFonts w:asciiTheme="minorHAnsi" w:hAnsiTheme="minorHAnsi" w:cstheme="minorHAnsi"/>
                <w:iCs/>
                <w:szCs w:val="20"/>
              </w:rPr>
              <w:t xml:space="preserve">After the approval of the MPGT, all stakeholders will be informed, including the </w:t>
            </w:r>
            <w:r w:rsidRPr="006A684F">
              <w:rPr>
                <w:rFonts w:asciiTheme="minorHAnsi" w:hAnsiTheme="minorHAnsi" w:cstheme="minorHAnsi"/>
                <w:szCs w:val="20"/>
              </w:rPr>
              <w:t>authorities with environmental responsibilities, in order to issues the environmental permit. The statement of the referred to in Article 9(1) of the SEA Directive will be issued by the Ministry of Transport and the measures concerning monitoring referred to in Article 10 of the SEA Directive are to be implemented.</w:t>
            </w:r>
          </w:p>
        </w:tc>
        <w:tc>
          <w:tcPr>
            <w:tcW w:w="1440" w:type="dxa"/>
            <w:tcBorders>
              <w:top w:val="single" w:sz="4" w:space="0" w:color="auto"/>
            </w:tcBorders>
            <w:shd w:val="clear" w:color="auto" w:fill="FFFFFF" w:themeFill="background1"/>
          </w:tcPr>
          <w:p w:rsidR="007D0740" w:rsidRPr="006A684F" w:rsidRDefault="007D0740" w:rsidP="00682FFE">
            <w:pPr>
              <w:autoSpaceDE w:val="0"/>
              <w:autoSpaceDN w:val="0"/>
              <w:adjustRightInd w:val="0"/>
              <w:jc w:val="center"/>
              <w:rPr>
                <w:rFonts w:asciiTheme="minorHAnsi" w:hAnsiTheme="minorHAnsi" w:cstheme="minorHAnsi"/>
                <w:b/>
                <w:szCs w:val="20"/>
              </w:rPr>
            </w:pPr>
            <w:r w:rsidRPr="006A684F">
              <w:rPr>
                <w:rFonts w:asciiTheme="minorHAnsi" w:hAnsiTheme="minorHAnsi" w:cstheme="minorHAnsi"/>
                <w:b/>
                <w:szCs w:val="20"/>
              </w:rPr>
              <w:t>August 2015</w:t>
            </w:r>
          </w:p>
        </w:tc>
        <w:tc>
          <w:tcPr>
            <w:tcW w:w="1276" w:type="dxa"/>
            <w:tcBorders>
              <w:top w:val="single" w:sz="4" w:space="0" w:color="auto"/>
            </w:tcBorders>
            <w:shd w:val="clear" w:color="auto" w:fill="FFFFFF" w:themeFill="background1"/>
          </w:tcPr>
          <w:p w:rsidR="007D0740" w:rsidRPr="006A684F" w:rsidRDefault="007D0740" w:rsidP="006750C3">
            <w:pPr>
              <w:spacing w:after="0" w:line="240" w:lineRule="auto"/>
              <w:jc w:val="center"/>
              <w:rPr>
                <w:rFonts w:ascii="Calibri" w:hAnsi="Calibri"/>
                <w:b/>
                <w:szCs w:val="20"/>
              </w:rPr>
            </w:pPr>
            <w:r w:rsidRPr="006A684F">
              <w:rPr>
                <w:rFonts w:ascii="Calibri" w:hAnsi="Calibri"/>
                <w:b/>
                <w:szCs w:val="20"/>
              </w:rPr>
              <w:t>MT</w:t>
            </w:r>
          </w:p>
        </w:tc>
      </w:tr>
      <w:tr w:rsidR="007D0740" w:rsidRPr="00C768C5" w:rsidTr="0040322B">
        <w:trPr>
          <w:jc w:val="center"/>
        </w:trPr>
        <w:tc>
          <w:tcPr>
            <w:tcW w:w="2435" w:type="dxa"/>
            <w:tcBorders>
              <w:top w:val="single" w:sz="4" w:space="0" w:color="auto"/>
            </w:tcBorders>
            <w:shd w:val="clear" w:color="auto" w:fill="FFFFFF" w:themeFill="background1"/>
          </w:tcPr>
          <w:p w:rsidR="007D0740" w:rsidRPr="00521077" w:rsidRDefault="007D0740" w:rsidP="0035188B">
            <w:pPr>
              <w:autoSpaceDE w:val="0"/>
              <w:autoSpaceDN w:val="0"/>
              <w:adjustRightInd w:val="0"/>
              <w:jc w:val="both"/>
              <w:rPr>
                <w:rFonts w:asciiTheme="minorHAnsi" w:hAnsiTheme="minorHAnsi" w:cstheme="minorHAnsi"/>
                <w:i/>
                <w:iCs/>
                <w:szCs w:val="20"/>
              </w:rPr>
            </w:pPr>
            <w:r w:rsidRPr="004F6592">
              <w:rPr>
                <w:rFonts w:asciiTheme="minorHAnsi" w:hAnsiTheme="minorHAnsi" w:cstheme="minorHAnsi"/>
                <w:szCs w:val="20"/>
              </w:rPr>
              <w:t xml:space="preserve">‒ </w:t>
            </w:r>
            <w:r w:rsidRPr="004F6592">
              <w:rPr>
                <w:rFonts w:asciiTheme="minorHAnsi" w:hAnsiTheme="minorHAnsi" w:cstheme="minorHAnsi"/>
                <w:i/>
                <w:iCs/>
                <w:szCs w:val="20"/>
              </w:rPr>
              <w:t xml:space="preserve">sets out the contribution to the single European Transport Area consistent with Article 10 of Regulation (EU) No 1315/2013 of the European Parliament and of the Council, including priorities for investments in </w:t>
            </w:r>
            <w:r w:rsidRPr="004F6592">
              <w:rPr>
                <w:rFonts w:asciiTheme="minorHAnsi" w:hAnsiTheme="minorHAnsi" w:cstheme="minorHAnsi"/>
                <w:i/>
                <w:iCs/>
                <w:szCs w:val="20"/>
              </w:rPr>
              <w:lastRenderedPageBreak/>
              <w:t>the core TEN-T network and the comprehensive network where investment</w:t>
            </w:r>
            <w:r w:rsidRPr="00521077">
              <w:rPr>
                <w:rFonts w:asciiTheme="minorHAnsi" w:hAnsiTheme="minorHAnsi" w:cstheme="minorHAnsi"/>
                <w:i/>
                <w:iCs/>
                <w:szCs w:val="20"/>
              </w:rPr>
              <w:t xml:space="preserve"> from the</w:t>
            </w:r>
            <w:r>
              <w:rPr>
                <w:rFonts w:asciiTheme="minorHAnsi" w:hAnsiTheme="minorHAnsi" w:cstheme="minorHAnsi"/>
                <w:i/>
                <w:iCs/>
                <w:szCs w:val="20"/>
              </w:rPr>
              <w:t xml:space="preserve"> </w:t>
            </w:r>
            <w:r w:rsidRPr="00521077">
              <w:rPr>
                <w:rFonts w:asciiTheme="minorHAnsi" w:hAnsiTheme="minorHAnsi" w:cstheme="minorHAnsi"/>
                <w:i/>
                <w:iCs/>
                <w:szCs w:val="20"/>
              </w:rPr>
              <w:t>ERDF and CF is envisaged; and secondary connectivity.</w:t>
            </w:r>
          </w:p>
          <w:p w:rsidR="007D0740" w:rsidRPr="00521077" w:rsidRDefault="007D0740" w:rsidP="0035188B">
            <w:pPr>
              <w:autoSpaceDE w:val="0"/>
              <w:autoSpaceDN w:val="0"/>
              <w:adjustRightInd w:val="0"/>
              <w:jc w:val="both"/>
              <w:rPr>
                <w:rFonts w:asciiTheme="minorHAnsi" w:hAnsiTheme="minorHAnsi" w:cstheme="minorHAnsi"/>
                <w:i/>
                <w:iCs/>
                <w:szCs w:val="20"/>
              </w:rPr>
            </w:pPr>
          </w:p>
        </w:tc>
        <w:tc>
          <w:tcPr>
            <w:tcW w:w="9639" w:type="dxa"/>
            <w:tcBorders>
              <w:top w:val="single" w:sz="4" w:space="0" w:color="auto"/>
            </w:tcBorders>
            <w:shd w:val="clear" w:color="auto" w:fill="FFFFFF" w:themeFill="background1"/>
          </w:tcPr>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lastRenderedPageBreak/>
              <w:t xml:space="preserve">The GTMP defines Strategic Objectives covering the next 15 years, focused on the contribution to </w:t>
            </w:r>
            <w:r w:rsidRPr="006A684F">
              <w:rPr>
                <w:rFonts w:asciiTheme="minorHAnsi" w:hAnsiTheme="minorHAnsi" w:cstheme="minorHAnsi"/>
                <w:i/>
                <w:iCs/>
                <w:szCs w:val="20"/>
              </w:rPr>
              <w:t xml:space="preserve">single European Transport Area </w:t>
            </w:r>
            <w:r w:rsidRPr="006A684F">
              <w:rPr>
                <w:rFonts w:asciiTheme="minorHAnsi" w:hAnsiTheme="minorHAnsi" w:cstheme="minorHAnsi"/>
                <w:szCs w:val="20"/>
              </w:rPr>
              <w:t>and the European Commission’s White Paper on Transport, defining projects and policies with significant national and European impact.</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xml:space="preserve">The scenarios analysed by GTMP have the TEN-T network as prime criteria for prioritisation of projects followed by economic viability. The strategic objectives envisaged by GTMP aimed at ensuring the international and interregional connectivity of Romania thus effectively establishing an infrastructure network for Romania for 2020 – 2030 horizons. </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xml:space="preserve">The GTMP contains the National Transport Model, covering core and comprehensive TEN-T network, TEN-T connections at national level, </w:t>
            </w:r>
            <w:r w:rsidRPr="006A684F">
              <w:rPr>
                <w:rFonts w:asciiTheme="minorHAnsi" w:hAnsiTheme="minorHAnsi" w:cstheme="minorHAnsi"/>
                <w:b/>
                <w:szCs w:val="20"/>
              </w:rPr>
              <w:t xml:space="preserve">ensuring optimal integration of the transport modes and interoperability within </w:t>
            </w:r>
            <w:r w:rsidRPr="006A684F">
              <w:rPr>
                <w:rFonts w:asciiTheme="minorHAnsi" w:hAnsiTheme="minorHAnsi" w:cstheme="minorHAnsi"/>
                <w:b/>
                <w:szCs w:val="20"/>
              </w:rPr>
              <w:lastRenderedPageBreak/>
              <w:t xml:space="preserve">transport modes </w:t>
            </w:r>
            <w:r w:rsidRPr="006A684F">
              <w:rPr>
                <w:rFonts w:asciiTheme="minorHAnsi" w:hAnsiTheme="minorHAnsi" w:cstheme="minorHAnsi"/>
                <w:szCs w:val="20"/>
              </w:rPr>
              <w:t>(road, railway – network and services, intermodal, naval and air). The secondary connectivity with TEN-T network is also ensured and is analysed in the GTMP.</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xml:space="preserve">The NTM is modelling the </w:t>
            </w:r>
            <w:r w:rsidRPr="006A684F">
              <w:rPr>
                <w:rFonts w:asciiTheme="minorHAnsi" w:hAnsiTheme="minorHAnsi" w:cstheme="minorHAnsi"/>
                <w:b/>
                <w:szCs w:val="20"/>
              </w:rPr>
              <w:t>transport demand</w:t>
            </w:r>
            <w:r w:rsidRPr="006A684F">
              <w:rPr>
                <w:rFonts w:asciiTheme="minorHAnsi" w:hAnsiTheme="minorHAnsi" w:cstheme="minorHAnsi"/>
                <w:szCs w:val="20"/>
              </w:rPr>
              <w:t xml:space="preserve">, both for goods and persons, </w:t>
            </w:r>
            <w:r w:rsidRPr="006A684F">
              <w:rPr>
                <w:rFonts w:asciiTheme="minorHAnsi" w:hAnsiTheme="minorHAnsi" w:cstheme="minorHAnsi"/>
                <w:b/>
                <w:szCs w:val="20"/>
              </w:rPr>
              <w:t>national and international traffic</w:t>
            </w:r>
            <w:r w:rsidRPr="006A684F">
              <w:rPr>
                <w:rFonts w:asciiTheme="minorHAnsi" w:hAnsiTheme="minorHAnsi" w:cstheme="minorHAnsi"/>
                <w:szCs w:val="20"/>
              </w:rPr>
              <w:t>, and takes into account the GDP level, the territorial distribution, the demographic changes, the level of emissions, the cost of transport (generalised and combined costs, by days, destinations and transport modes), the level of accessibility, safety elements. The internalisation of external costs and level of motorisations also covered by the NTM.</w:t>
            </w:r>
            <w:r w:rsidRPr="006A684F">
              <w:rPr>
                <w:rFonts w:asciiTheme="minorHAnsi" w:hAnsiTheme="minorHAnsi" w:cstheme="minorHAnsi"/>
                <w:szCs w:val="20"/>
              </w:rPr>
              <w:tab/>
            </w:r>
          </w:p>
          <w:p w:rsidR="007D0740" w:rsidRPr="006A684F" w:rsidRDefault="0017379F" w:rsidP="00682FFE">
            <w:pPr>
              <w:autoSpaceDE w:val="0"/>
              <w:autoSpaceDN w:val="0"/>
              <w:adjustRightInd w:val="0"/>
              <w:spacing w:after="120" w:line="240" w:lineRule="auto"/>
              <w:jc w:val="both"/>
              <w:rPr>
                <w:rFonts w:asciiTheme="minorHAnsi" w:hAnsiTheme="minorHAnsi" w:cstheme="minorHAnsi"/>
                <w:szCs w:val="20"/>
              </w:rPr>
            </w:pPr>
            <w:hyperlink r:id="rId12" w:history="1">
              <w:r w:rsidR="007D0740" w:rsidRPr="006A684F">
                <w:rPr>
                  <w:rStyle w:val="Hyperlink"/>
                  <w:rFonts w:asciiTheme="minorHAnsi" w:hAnsiTheme="minorHAnsi" w:cstheme="minorHAnsi"/>
                  <w:color w:val="auto"/>
                  <w:szCs w:val="20"/>
                </w:rPr>
                <w:t>http://www.ampost.ro/fisiere/pagini_fisiere/Raport_asupra_elaborarii_modelului.pdf</w:t>
              </w:r>
            </w:hyperlink>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b/>
                <w:szCs w:val="20"/>
              </w:rPr>
              <w:t xml:space="preserve">International networks </w:t>
            </w:r>
            <w:r w:rsidRPr="006A684F">
              <w:rPr>
                <w:rFonts w:asciiTheme="minorHAnsi" w:hAnsiTheme="minorHAnsi" w:cstheme="minorHAnsi"/>
                <w:szCs w:val="20"/>
              </w:rPr>
              <w:t>within the model are similar to those used in the TRANS-TOOLS and include:</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All European roads in the EU;</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The main international railway connections from Romania to other European countries, ensuring that the possible alternative routes from Serbia are modelled properly and that there is connectivity to all parts of Romania external, so that time and cost can be realistic in terms of rail;</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All international air services, including services for passenger and of goods; and</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Representation of the complete system of European shipping, so that the role of Constanta Port and the Danube river are modelled properly.</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Several development scenarios have been proposed, based on the problem definition as outcome of a diagnostic of the National Transport System, which identified the main causes which are responsible for the manifestation of problems, as well as identifying the problems at a spatial level so that specific objectives and interventions can be identified.</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The scenarios proposed take into account the development of by-passes in order to reduce the negative impact of traffic on urban areas and to increase the safety.  Based  on  analysis  undertaken  when  developing  the  National  Model,  the  volume  of  ‘through’ traffic  (i.e.  trips  not  starting  or  finishing  in  the  area  in  question)  was  then  derived.  Thresholds were then set separately for cars and goods traffic (25% and 50%) respectively. Locations where these thresholds were exceeded were then taken forward for full testing in through the modelling and appraisal process.</w:t>
            </w:r>
          </w:p>
        </w:tc>
        <w:tc>
          <w:tcPr>
            <w:tcW w:w="1440" w:type="dxa"/>
            <w:tcBorders>
              <w:top w:val="single" w:sz="4" w:space="0" w:color="auto"/>
            </w:tcBorders>
            <w:shd w:val="clear" w:color="auto" w:fill="FFFFFF" w:themeFill="background1"/>
          </w:tcPr>
          <w:p w:rsidR="007D0740" w:rsidRPr="006A684F" w:rsidRDefault="007D0740" w:rsidP="006750C3">
            <w:pPr>
              <w:spacing w:after="0" w:line="240" w:lineRule="auto"/>
              <w:jc w:val="center"/>
              <w:rPr>
                <w:rFonts w:ascii="Calibri" w:hAnsi="Calibri"/>
                <w:b/>
                <w:szCs w:val="20"/>
              </w:rPr>
            </w:pPr>
            <w:r w:rsidRPr="006A684F">
              <w:rPr>
                <w:rFonts w:asciiTheme="minorHAnsi" w:hAnsiTheme="minorHAnsi" w:cstheme="minorHAnsi"/>
                <w:b/>
                <w:szCs w:val="20"/>
              </w:rPr>
              <w:lastRenderedPageBreak/>
              <w:t>July 2015</w:t>
            </w:r>
          </w:p>
        </w:tc>
        <w:tc>
          <w:tcPr>
            <w:tcW w:w="1276" w:type="dxa"/>
            <w:tcBorders>
              <w:top w:val="single" w:sz="4" w:space="0" w:color="auto"/>
            </w:tcBorders>
            <w:shd w:val="clear" w:color="auto" w:fill="FFFFFF" w:themeFill="background1"/>
          </w:tcPr>
          <w:p w:rsidR="007D0740" w:rsidRPr="006A684F" w:rsidRDefault="007D0740" w:rsidP="006750C3">
            <w:pPr>
              <w:spacing w:after="0" w:line="240" w:lineRule="auto"/>
              <w:jc w:val="center"/>
              <w:rPr>
                <w:rFonts w:ascii="Calibri" w:hAnsi="Calibri"/>
                <w:b/>
                <w:szCs w:val="20"/>
              </w:rPr>
            </w:pPr>
            <w:r w:rsidRPr="006A684F">
              <w:rPr>
                <w:rFonts w:ascii="Calibri" w:hAnsi="Calibri"/>
                <w:b/>
                <w:szCs w:val="20"/>
              </w:rPr>
              <w:t>MT</w:t>
            </w:r>
          </w:p>
        </w:tc>
      </w:tr>
      <w:tr w:rsidR="007D0740" w:rsidRPr="00C768C5" w:rsidTr="0040322B">
        <w:trPr>
          <w:jc w:val="center"/>
        </w:trPr>
        <w:tc>
          <w:tcPr>
            <w:tcW w:w="2435" w:type="dxa"/>
            <w:tcBorders>
              <w:top w:val="single" w:sz="4" w:space="0" w:color="auto"/>
            </w:tcBorders>
            <w:shd w:val="clear" w:color="auto" w:fill="FFFFFF" w:themeFill="background1"/>
          </w:tcPr>
          <w:p w:rsidR="007D0740" w:rsidRPr="002E5935" w:rsidRDefault="007D0740" w:rsidP="0035188B">
            <w:pPr>
              <w:autoSpaceDE w:val="0"/>
              <w:autoSpaceDN w:val="0"/>
              <w:adjustRightInd w:val="0"/>
              <w:jc w:val="both"/>
              <w:rPr>
                <w:rFonts w:asciiTheme="minorHAnsi" w:hAnsiTheme="minorHAnsi" w:cstheme="minorHAnsi"/>
                <w:i/>
                <w:iCs/>
                <w:szCs w:val="20"/>
              </w:rPr>
            </w:pPr>
            <w:r w:rsidRPr="002E5935">
              <w:rPr>
                <w:rFonts w:asciiTheme="minorHAnsi" w:hAnsiTheme="minorHAnsi" w:cstheme="minorHAnsi"/>
                <w:szCs w:val="20"/>
              </w:rPr>
              <w:t xml:space="preserve">‒ </w:t>
            </w:r>
            <w:r w:rsidRPr="002E5935">
              <w:rPr>
                <w:rFonts w:asciiTheme="minorHAnsi" w:hAnsiTheme="minorHAnsi" w:cstheme="minorHAnsi"/>
                <w:i/>
                <w:iCs/>
                <w:szCs w:val="20"/>
              </w:rPr>
              <w:t xml:space="preserve">sets out a realistic and mature pipeline for projects envisaged for support from the ERDF and </w:t>
            </w:r>
            <w:r w:rsidRPr="002E5935">
              <w:rPr>
                <w:rFonts w:asciiTheme="minorHAnsi" w:hAnsiTheme="minorHAnsi" w:cstheme="minorHAnsi"/>
                <w:i/>
                <w:iCs/>
                <w:szCs w:val="20"/>
              </w:rPr>
              <w:lastRenderedPageBreak/>
              <w:t>CF</w:t>
            </w:r>
          </w:p>
          <w:p w:rsidR="007D0740" w:rsidRPr="004F6592" w:rsidRDefault="007D0740" w:rsidP="0035188B">
            <w:pPr>
              <w:autoSpaceDE w:val="0"/>
              <w:autoSpaceDN w:val="0"/>
              <w:adjustRightInd w:val="0"/>
              <w:jc w:val="both"/>
              <w:rPr>
                <w:rFonts w:asciiTheme="minorHAnsi" w:hAnsiTheme="minorHAnsi" w:cstheme="minorHAnsi"/>
                <w:szCs w:val="20"/>
              </w:rPr>
            </w:pPr>
          </w:p>
        </w:tc>
        <w:tc>
          <w:tcPr>
            <w:tcW w:w="9639" w:type="dxa"/>
            <w:tcBorders>
              <w:top w:val="single" w:sz="4" w:space="0" w:color="auto"/>
            </w:tcBorders>
            <w:shd w:val="clear" w:color="auto" w:fill="FFFFFF" w:themeFill="background1"/>
          </w:tcPr>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b/>
                <w:szCs w:val="20"/>
              </w:rPr>
              <w:lastRenderedPageBreak/>
              <w:t>The list of prioritized transport projects was included in a Strategy for Implementation of GTMP.</w:t>
            </w:r>
            <w:r w:rsidRPr="006A684F">
              <w:rPr>
                <w:rFonts w:asciiTheme="minorHAnsi" w:hAnsiTheme="minorHAnsi" w:cstheme="minorHAnsi"/>
                <w:szCs w:val="20"/>
              </w:rPr>
              <w:t xml:space="preserve"> </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The list of proposed projects covered the required information, including a realistic timetable for delivery.</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 xml:space="preserve">Based on a comprehensive process of identifying the needs and potential interventions / projects, detailed project evaluation (including traffic shaping and CBA), the list of priority projects was proposed based on draft GTMP. </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lastRenderedPageBreak/>
              <w:t>Projects  prioritisation  forms  a  critical  step  in  drafting the GTMP  as  investment  needs  identified  are  far  greater  than  the  available  financial allocations.  This  implies  the  necessity  of  ranking  projects  considering  a  set  of  predefined evaluation criteria, which will assure a fair and neutral project prioritisation. Adding the funding restrictions to the list of ranked projects leads to obtaining of the implementation calendar.</w:t>
            </w:r>
          </w:p>
          <w:p w:rsidR="007D0740" w:rsidRPr="006A684F" w:rsidRDefault="007D0740" w:rsidP="00C41FD4">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The Master Plan represents the direction of the country’s transport for the next 15-20 years. It is therefore important that a broad appraisal is made at the strategic level so that the overall impact of the Master Plan is known and assessed. The appraisal was undertaken, based on the output of the NTM, using a Cost Benefit Analysis (CBA) and a summary Multi Criteria Analysis (MCA) where TEN-T network had the highest weight</w:t>
            </w:r>
          </w:p>
          <w:p w:rsidR="007D0740" w:rsidRPr="006A684F" w:rsidRDefault="007D0740" w:rsidP="00682FFE">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The implementation strategy is included in the final draft Master Plan sent to the EC on 12</w:t>
            </w:r>
            <w:r w:rsidRPr="006A684F">
              <w:rPr>
                <w:rFonts w:asciiTheme="minorHAnsi" w:hAnsiTheme="minorHAnsi" w:cstheme="minorHAnsi"/>
                <w:szCs w:val="20"/>
                <w:vertAlign w:val="superscript"/>
              </w:rPr>
              <w:t>th</w:t>
            </w:r>
            <w:r w:rsidRPr="006A684F">
              <w:rPr>
                <w:rFonts w:asciiTheme="minorHAnsi" w:hAnsiTheme="minorHAnsi" w:cstheme="minorHAnsi"/>
                <w:szCs w:val="20"/>
              </w:rPr>
              <w:t xml:space="preserve"> of May 2015.</w:t>
            </w:r>
          </w:p>
          <w:p w:rsidR="007D0740" w:rsidRPr="006A684F" w:rsidRDefault="007D0740" w:rsidP="00682FFE">
            <w:pPr>
              <w:autoSpaceDE w:val="0"/>
              <w:autoSpaceDN w:val="0"/>
              <w:adjustRightInd w:val="0"/>
              <w:spacing w:after="120" w:line="240" w:lineRule="auto"/>
              <w:jc w:val="both"/>
              <w:rPr>
                <w:rFonts w:asciiTheme="minorHAnsi" w:hAnsiTheme="minorHAnsi" w:cstheme="minorHAnsi"/>
                <w:b/>
                <w:i/>
                <w:szCs w:val="20"/>
              </w:rPr>
            </w:pPr>
            <w:r w:rsidRPr="006A684F">
              <w:rPr>
                <w:rFonts w:asciiTheme="minorHAnsi" w:hAnsiTheme="minorHAnsi" w:cstheme="minorHAnsi"/>
                <w:b/>
                <w:i/>
                <w:szCs w:val="20"/>
              </w:rPr>
              <w:t>Metro infrastructure</w:t>
            </w:r>
          </w:p>
          <w:p w:rsidR="007D0740" w:rsidRPr="006A684F" w:rsidRDefault="007D0740" w:rsidP="004727DF">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The prioritised list of investments for development of metro infrastructure to be financed under LIOP will be the result of Urban Mobility Plan for Bucharest-Ilfov.</w:t>
            </w:r>
          </w:p>
          <w:p w:rsidR="007D0740" w:rsidRPr="006A684F" w:rsidRDefault="007D0740" w:rsidP="004727DF">
            <w:pPr>
              <w:autoSpaceDE w:val="0"/>
              <w:autoSpaceDN w:val="0"/>
              <w:adjustRightInd w:val="0"/>
              <w:spacing w:after="120" w:line="240" w:lineRule="auto"/>
              <w:jc w:val="both"/>
              <w:rPr>
                <w:rFonts w:asciiTheme="minorHAnsi" w:hAnsiTheme="minorHAnsi" w:cstheme="minorHAnsi"/>
                <w:szCs w:val="20"/>
              </w:rPr>
            </w:pPr>
            <w:r w:rsidRPr="006A684F">
              <w:rPr>
                <w:rFonts w:asciiTheme="minorHAnsi" w:hAnsiTheme="minorHAnsi" w:cstheme="minorHAnsi"/>
                <w:szCs w:val="20"/>
              </w:rPr>
              <w:t>Sustainable Urban Mobility Plan for Bucharest-Ilfov (PMUD) is under development, being developed through a technical assistance project coordinated by the Ministry of Regional Development and Public Administration and implemented by the European Bank for Reconstruction and Development. The project started in July 2014 and will end in July 2015, estimated approval date by the General Council of Bucharest by end 2015. PMUD for Bucharest-Ilfov region aims to develop an integrated multimodal transport system to support economic growth in the region, and to ensure accessibility for the entire region and for the extended area of influence and implement an effective and integrated management of urban transport.</w:t>
            </w:r>
          </w:p>
        </w:tc>
        <w:tc>
          <w:tcPr>
            <w:tcW w:w="1440" w:type="dxa"/>
            <w:tcBorders>
              <w:top w:val="single" w:sz="4" w:space="0" w:color="auto"/>
            </w:tcBorders>
            <w:shd w:val="clear" w:color="auto" w:fill="FFFFFF" w:themeFill="background1"/>
          </w:tcPr>
          <w:p w:rsidR="007D0740" w:rsidRPr="006A684F" w:rsidRDefault="007D0740" w:rsidP="006750C3">
            <w:pPr>
              <w:spacing w:after="0" w:line="240" w:lineRule="auto"/>
              <w:jc w:val="center"/>
              <w:rPr>
                <w:rFonts w:ascii="Calibri" w:hAnsi="Calibri"/>
                <w:b/>
                <w:szCs w:val="20"/>
              </w:rPr>
            </w:pPr>
            <w:r w:rsidRPr="006A684F">
              <w:rPr>
                <w:rFonts w:ascii="Calibri" w:hAnsi="Calibri"/>
                <w:b/>
                <w:szCs w:val="20"/>
              </w:rPr>
              <w:lastRenderedPageBreak/>
              <w:t>July 2015</w:t>
            </w:r>
          </w:p>
        </w:tc>
        <w:tc>
          <w:tcPr>
            <w:tcW w:w="1276" w:type="dxa"/>
            <w:tcBorders>
              <w:top w:val="single" w:sz="4" w:space="0" w:color="auto"/>
            </w:tcBorders>
            <w:shd w:val="clear" w:color="auto" w:fill="FFFFFF" w:themeFill="background1"/>
          </w:tcPr>
          <w:p w:rsidR="007D0740" w:rsidRPr="00C768C5" w:rsidRDefault="007D0740" w:rsidP="006750C3">
            <w:pPr>
              <w:spacing w:after="0" w:line="240" w:lineRule="auto"/>
              <w:jc w:val="center"/>
              <w:rPr>
                <w:rFonts w:ascii="Calibri" w:hAnsi="Calibri"/>
                <w:b/>
                <w:szCs w:val="20"/>
              </w:rPr>
            </w:pPr>
            <w:r>
              <w:rPr>
                <w:rFonts w:ascii="Calibri" w:hAnsi="Calibri"/>
                <w:b/>
                <w:szCs w:val="20"/>
              </w:rPr>
              <w:t>MT</w:t>
            </w:r>
          </w:p>
        </w:tc>
      </w:tr>
      <w:tr w:rsidR="0060731F" w:rsidRPr="00C768C5" w:rsidTr="0040322B">
        <w:trPr>
          <w:trHeight w:val="459"/>
          <w:jc w:val="center"/>
        </w:trPr>
        <w:tc>
          <w:tcPr>
            <w:tcW w:w="2435" w:type="dxa"/>
            <w:vMerge w:val="restart"/>
            <w:shd w:val="clear" w:color="auto" w:fill="auto"/>
          </w:tcPr>
          <w:p w:rsidR="0060731F" w:rsidRPr="00C768C5" w:rsidRDefault="0060731F" w:rsidP="0060731F">
            <w:pPr>
              <w:widowControl w:val="0"/>
              <w:autoSpaceDE w:val="0"/>
              <w:autoSpaceDN w:val="0"/>
              <w:adjustRightInd w:val="0"/>
              <w:spacing w:after="0" w:line="240" w:lineRule="auto"/>
              <w:rPr>
                <w:rFonts w:ascii="Calibri" w:eastAsia="Calibri" w:hAnsi="Calibri"/>
                <w:i/>
                <w:iCs/>
                <w:szCs w:val="20"/>
                <w:lang w:val="ro-RO"/>
              </w:rPr>
            </w:pPr>
            <w:r w:rsidRPr="002D63E1">
              <w:rPr>
                <w:rFonts w:ascii="Calibri" w:eastAsia="Calibri" w:hAnsi="Calibri"/>
                <w:i/>
                <w:iCs/>
                <w:szCs w:val="20"/>
                <w:lang w:val="ro-RO"/>
              </w:rPr>
              <w:t>7.1. Road</w:t>
            </w:r>
          </w:p>
          <w:p w:rsidR="0060731F" w:rsidRPr="008719C9" w:rsidRDefault="0060731F" w:rsidP="00F07F1F">
            <w:pPr>
              <w:autoSpaceDE w:val="0"/>
              <w:autoSpaceDN w:val="0"/>
              <w:adjustRightInd w:val="0"/>
              <w:spacing w:after="0" w:line="240" w:lineRule="auto"/>
              <w:jc w:val="both"/>
              <w:rPr>
                <w:rFonts w:ascii="Calibri" w:eastAsia="Calibri" w:hAnsi="Calibri"/>
                <w:i/>
                <w:iCs/>
                <w:szCs w:val="20"/>
                <w:lang w:val="ro-RO"/>
              </w:rPr>
            </w:pPr>
            <w:r w:rsidRPr="005C71B0">
              <w:rPr>
                <w:rFonts w:ascii="Calibri" w:eastAsia="Calibri" w:hAnsi="Calibri"/>
                <w:i/>
                <w:iCs/>
                <w:szCs w:val="20"/>
                <w:lang w:val="ro-RO"/>
              </w:rPr>
              <w:t>Measures to ensure the capacity of intermediary bodies and beneficiaries to deliver the project pipeline.</w:t>
            </w:r>
          </w:p>
        </w:tc>
        <w:tc>
          <w:tcPr>
            <w:tcW w:w="9639" w:type="dxa"/>
            <w:shd w:val="clear" w:color="auto" w:fill="auto"/>
          </w:tcPr>
          <w:p w:rsidR="0060731F" w:rsidRPr="003A7A59" w:rsidRDefault="0060731F" w:rsidP="00A24899">
            <w:pPr>
              <w:autoSpaceDE w:val="0"/>
              <w:autoSpaceDN w:val="0"/>
              <w:adjustRightInd w:val="0"/>
              <w:spacing w:after="120" w:line="240" w:lineRule="auto"/>
              <w:jc w:val="both"/>
              <w:rPr>
                <w:rFonts w:ascii="Calibri" w:hAnsi="Calibri"/>
                <w:i/>
                <w:color w:val="000000" w:themeColor="text1"/>
                <w:szCs w:val="20"/>
                <w:lang w:val="ro-RO"/>
              </w:rPr>
            </w:pPr>
            <w:r w:rsidRPr="003A7A59">
              <w:rPr>
                <w:rFonts w:ascii="Calibri" w:hAnsi="Calibri"/>
                <w:color w:val="000000" w:themeColor="text1"/>
                <w:szCs w:val="20"/>
                <w:lang w:val="ro-RO"/>
              </w:rPr>
              <w:t xml:space="preserve"> Development of the administrative capacity of CNADNR to ensure an adequate management of project portfolio, creating internal expertise for </w:t>
            </w:r>
            <w:r w:rsidRPr="003A7A59">
              <w:rPr>
                <w:rFonts w:ascii="Calibri" w:hAnsi="Calibri"/>
                <w:b/>
                <w:color w:val="000000" w:themeColor="text1"/>
                <w:szCs w:val="20"/>
                <w:lang w:val="ro-RO"/>
              </w:rPr>
              <w:t>developing a mature project pipeline</w:t>
            </w:r>
            <w:r w:rsidRPr="003A7A59">
              <w:rPr>
                <w:rFonts w:ascii="Calibri" w:hAnsi="Calibri"/>
                <w:color w:val="000000" w:themeColor="text1"/>
                <w:szCs w:val="20"/>
                <w:lang w:val="ro-RO"/>
              </w:rPr>
              <w:t xml:space="preserve"> and </w:t>
            </w:r>
            <w:r w:rsidRPr="003A7A59">
              <w:rPr>
                <w:rFonts w:ascii="Calibri" w:hAnsi="Calibri"/>
                <w:b/>
                <w:color w:val="000000" w:themeColor="text1"/>
                <w:szCs w:val="20"/>
                <w:lang w:val="ro-RO"/>
              </w:rPr>
              <w:t>duly implementing the proposed projects, through:</w:t>
            </w:r>
          </w:p>
        </w:tc>
        <w:tc>
          <w:tcPr>
            <w:tcW w:w="1440" w:type="dxa"/>
            <w:vAlign w:val="center"/>
          </w:tcPr>
          <w:p w:rsidR="0060731F" w:rsidRPr="000A5E82" w:rsidRDefault="0060731F" w:rsidP="00A24899">
            <w:pPr>
              <w:widowControl w:val="0"/>
              <w:spacing w:after="0" w:line="240" w:lineRule="auto"/>
              <w:jc w:val="center"/>
              <w:rPr>
                <w:rFonts w:ascii="Calibri" w:eastAsia="Calibri" w:hAnsi="Calibri"/>
                <w:szCs w:val="20"/>
                <w:lang w:val="ro-RO"/>
              </w:rPr>
            </w:pPr>
          </w:p>
        </w:tc>
        <w:tc>
          <w:tcPr>
            <w:tcW w:w="1276" w:type="dxa"/>
            <w:vAlign w:val="center"/>
          </w:tcPr>
          <w:p w:rsidR="0060731F" w:rsidRPr="000A5E82" w:rsidRDefault="0060731F" w:rsidP="00A24899">
            <w:pPr>
              <w:autoSpaceDE w:val="0"/>
              <w:autoSpaceDN w:val="0"/>
              <w:adjustRightInd w:val="0"/>
              <w:spacing w:after="0" w:line="240" w:lineRule="auto"/>
              <w:jc w:val="center"/>
              <w:rPr>
                <w:rFonts w:ascii="Calibri" w:hAnsi="Calibri"/>
                <w:szCs w:val="20"/>
                <w:lang w:val="ro-RO"/>
              </w:rPr>
            </w:pPr>
          </w:p>
        </w:tc>
      </w:tr>
      <w:tr w:rsidR="0060731F" w:rsidRPr="00C768C5" w:rsidTr="0040322B">
        <w:trPr>
          <w:trHeight w:val="381"/>
          <w:jc w:val="center"/>
        </w:trPr>
        <w:tc>
          <w:tcPr>
            <w:tcW w:w="2435" w:type="dxa"/>
            <w:vMerge/>
            <w:shd w:val="clear" w:color="auto" w:fill="auto"/>
          </w:tcPr>
          <w:p w:rsidR="0060731F" w:rsidRPr="00C768C5" w:rsidRDefault="0060731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0731F" w:rsidRPr="006A684F" w:rsidRDefault="0060731F" w:rsidP="00682FFE">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coaching and on-the-job training activities for:</w:t>
            </w:r>
          </w:p>
          <w:p w:rsidR="0060731F" w:rsidRPr="006A684F" w:rsidRDefault="0060731F" w:rsidP="00682FFE">
            <w:pPr>
              <w:pStyle w:val="ListParagraph"/>
              <w:numPr>
                <w:ilvl w:val="1"/>
                <w:numId w:val="13"/>
              </w:numPr>
              <w:autoSpaceDE w:val="0"/>
              <w:autoSpaceDN w:val="0"/>
              <w:adjustRightInd w:val="0"/>
              <w:spacing w:after="120" w:line="240" w:lineRule="auto"/>
              <w:jc w:val="both"/>
              <w:rPr>
                <w:rFonts w:ascii="Calibri" w:hAnsi="Calibri"/>
                <w:szCs w:val="20"/>
                <w:lang w:val="ro-RO"/>
              </w:rPr>
            </w:pPr>
            <w:r w:rsidRPr="006A684F">
              <w:rPr>
                <w:rFonts w:ascii="Calibri" w:hAnsi="Calibri"/>
                <w:b/>
                <w:szCs w:val="20"/>
                <w:lang w:val="ro-RO"/>
              </w:rPr>
              <w:t>Project preparation:</w:t>
            </w:r>
            <w:r w:rsidRPr="006A684F">
              <w:rPr>
                <w:rFonts w:ascii="Calibri" w:hAnsi="Calibri"/>
                <w:szCs w:val="20"/>
                <w:lang w:val="ro-RO"/>
              </w:rPr>
              <w:t xml:space="preserve"> preparation of tendering documentations for project development and works, verifying EIA results (based on JASPERS guidelines); analysing and approving technical elivrables (geo-topographical surveys and data interpretation, appropriate estimation of their impact on project budget, CBA) for project preparation, requiring a specific type of expertise; </w:t>
            </w:r>
          </w:p>
          <w:p w:rsidR="0060731F" w:rsidRPr="006A684F" w:rsidRDefault="0060731F" w:rsidP="00682FFE">
            <w:pPr>
              <w:pStyle w:val="ListParagraph"/>
              <w:numPr>
                <w:ilvl w:val="1"/>
                <w:numId w:val="13"/>
              </w:numPr>
              <w:autoSpaceDE w:val="0"/>
              <w:autoSpaceDN w:val="0"/>
              <w:adjustRightInd w:val="0"/>
              <w:spacing w:after="120" w:line="240" w:lineRule="auto"/>
              <w:jc w:val="both"/>
              <w:rPr>
                <w:rFonts w:ascii="Calibri" w:hAnsi="Calibri"/>
                <w:szCs w:val="20"/>
                <w:lang w:val="ro-RO"/>
              </w:rPr>
            </w:pPr>
            <w:r w:rsidRPr="006A684F">
              <w:rPr>
                <w:rFonts w:ascii="Calibri" w:hAnsi="Calibri"/>
                <w:b/>
                <w:szCs w:val="20"/>
                <w:lang w:val="ro-RO"/>
              </w:rPr>
              <w:t>Project implementation:</w:t>
            </w:r>
            <w:r w:rsidRPr="006A684F">
              <w:rPr>
                <w:rFonts w:ascii="Calibri" w:hAnsi="Calibri"/>
                <w:szCs w:val="20"/>
                <w:lang w:val="ro-RO"/>
              </w:rPr>
              <w:t xml:space="preserve"> contract management, streamlined monitoring based on risk assessment and  IT monitoring tool; support in performing on–the–spot checks and invoices verification, preventing fraud and conflict of interest; irregularities.</w:t>
            </w:r>
          </w:p>
        </w:tc>
        <w:tc>
          <w:tcPr>
            <w:tcW w:w="1440" w:type="dxa"/>
          </w:tcPr>
          <w:p w:rsidR="0060731F" w:rsidRPr="006A684F" w:rsidRDefault="0060731F" w:rsidP="00CB4F3F">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January – December  2016</w:t>
            </w:r>
          </w:p>
        </w:tc>
        <w:tc>
          <w:tcPr>
            <w:tcW w:w="1276" w:type="dxa"/>
          </w:tcPr>
          <w:p w:rsidR="0060731F" w:rsidRPr="006A684F" w:rsidRDefault="0060731F" w:rsidP="00763179">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MEF/</w:t>
            </w:r>
          </w:p>
          <w:p w:rsidR="0060731F" w:rsidRPr="006A684F" w:rsidRDefault="0060731F" w:rsidP="00763179">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CNADNR</w:t>
            </w:r>
          </w:p>
        </w:tc>
      </w:tr>
      <w:tr w:rsidR="0060731F" w:rsidRPr="00C768C5" w:rsidTr="0040322B">
        <w:trPr>
          <w:trHeight w:val="381"/>
          <w:jc w:val="center"/>
        </w:trPr>
        <w:tc>
          <w:tcPr>
            <w:tcW w:w="2435" w:type="dxa"/>
            <w:vMerge/>
            <w:shd w:val="clear" w:color="auto" w:fill="auto"/>
          </w:tcPr>
          <w:p w:rsidR="0060731F" w:rsidRPr="00C768C5" w:rsidRDefault="0060731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0731F" w:rsidRPr="003A7A59" w:rsidRDefault="0060731F"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development of an evaluation systems for staff performance based on quantified objectives and indicators</w:t>
            </w:r>
            <w:r>
              <w:rPr>
                <w:rFonts w:ascii="Calibri" w:hAnsi="Calibri"/>
                <w:color w:val="000000" w:themeColor="text1"/>
                <w:szCs w:val="20"/>
                <w:lang w:val="ro-RO"/>
              </w:rPr>
              <w:t>, including the necessary legal changes</w:t>
            </w:r>
          </w:p>
        </w:tc>
        <w:tc>
          <w:tcPr>
            <w:tcW w:w="1440" w:type="dxa"/>
          </w:tcPr>
          <w:p w:rsidR="0060731F" w:rsidRPr="003A7A59" w:rsidRDefault="0060731F" w:rsidP="00CB4F3F">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December 2015</w:t>
            </w:r>
          </w:p>
        </w:tc>
        <w:tc>
          <w:tcPr>
            <w:tcW w:w="1276" w:type="dxa"/>
          </w:tcPr>
          <w:p w:rsidR="0060731F" w:rsidRPr="006750C3" w:rsidRDefault="0060731F" w:rsidP="003A7A59">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MT/</w:t>
            </w:r>
            <w:r w:rsidRPr="006750C3">
              <w:rPr>
                <w:rFonts w:ascii="Calibri" w:hAnsi="Calibri"/>
                <w:color w:val="000000"/>
                <w:szCs w:val="20"/>
                <w:lang w:val="ro-RO"/>
              </w:rPr>
              <w:t>CNADNR</w:t>
            </w:r>
            <w:r>
              <w:rPr>
                <w:rFonts w:ascii="Calibri" w:hAnsi="Calibri"/>
                <w:color w:val="000000"/>
                <w:szCs w:val="20"/>
                <w:lang w:val="ro-RO"/>
              </w:rPr>
              <w:t>/MEF</w:t>
            </w:r>
          </w:p>
        </w:tc>
      </w:tr>
      <w:tr w:rsidR="0060731F" w:rsidRPr="00C768C5" w:rsidTr="0040322B">
        <w:trPr>
          <w:trHeight w:val="381"/>
          <w:jc w:val="center"/>
        </w:trPr>
        <w:tc>
          <w:tcPr>
            <w:tcW w:w="2435" w:type="dxa"/>
            <w:vMerge/>
            <w:shd w:val="clear" w:color="auto" w:fill="auto"/>
          </w:tcPr>
          <w:p w:rsidR="0060731F" w:rsidRPr="00C768C5" w:rsidRDefault="0060731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0731F" w:rsidRPr="003A7A59" w:rsidRDefault="0060731F"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development of an incentives systems from TA allocations</w:t>
            </w:r>
          </w:p>
        </w:tc>
        <w:tc>
          <w:tcPr>
            <w:tcW w:w="1440" w:type="dxa"/>
          </w:tcPr>
          <w:p w:rsidR="0060731F" w:rsidRPr="003A7A59" w:rsidRDefault="0060731F" w:rsidP="00CB4F3F">
            <w:pPr>
              <w:autoSpaceDE w:val="0"/>
              <w:autoSpaceDN w:val="0"/>
              <w:adjustRightInd w:val="0"/>
              <w:spacing w:after="0" w:line="240" w:lineRule="auto"/>
              <w:jc w:val="center"/>
              <w:rPr>
                <w:rFonts w:ascii="Calibri" w:hAnsi="Calibri"/>
                <w:color w:val="000000" w:themeColor="text1"/>
                <w:szCs w:val="20"/>
                <w:lang w:val="ro-RO"/>
              </w:rPr>
            </w:pPr>
            <w:r>
              <w:rPr>
                <w:rFonts w:ascii="Calibri" w:hAnsi="Calibri"/>
                <w:color w:val="000000" w:themeColor="text1"/>
                <w:szCs w:val="20"/>
                <w:lang w:val="ro-RO"/>
              </w:rPr>
              <w:t>March 2016</w:t>
            </w:r>
          </w:p>
        </w:tc>
        <w:tc>
          <w:tcPr>
            <w:tcW w:w="1276" w:type="dxa"/>
          </w:tcPr>
          <w:p w:rsidR="0060731F" w:rsidRPr="006750C3" w:rsidRDefault="0060731F" w:rsidP="003A7A59">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MT/</w:t>
            </w:r>
            <w:r w:rsidRPr="006750C3">
              <w:rPr>
                <w:rFonts w:ascii="Calibri" w:hAnsi="Calibri"/>
                <w:color w:val="000000"/>
                <w:szCs w:val="20"/>
                <w:lang w:val="ro-RO"/>
              </w:rPr>
              <w:t>CNADNR</w:t>
            </w:r>
            <w:r>
              <w:rPr>
                <w:rFonts w:ascii="Calibri" w:hAnsi="Calibri"/>
                <w:color w:val="000000"/>
                <w:szCs w:val="20"/>
                <w:lang w:val="ro-RO"/>
              </w:rPr>
              <w:t>/MEF</w:t>
            </w:r>
          </w:p>
        </w:tc>
      </w:tr>
      <w:tr w:rsidR="0060731F" w:rsidRPr="00C768C5" w:rsidTr="0040322B">
        <w:trPr>
          <w:trHeight w:val="381"/>
          <w:jc w:val="center"/>
        </w:trPr>
        <w:tc>
          <w:tcPr>
            <w:tcW w:w="2435" w:type="dxa"/>
            <w:vMerge/>
            <w:shd w:val="clear" w:color="auto" w:fill="auto"/>
          </w:tcPr>
          <w:p w:rsidR="0060731F" w:rsidRPr="00C768C5" w:rsidRDefault="0060731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0731F" w:rsidRPr="003A7A59" w:rsidRDefault="0060731F" w:rsidP="00682FFE">
            <w:p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Updating the administrative procedure for project management and internal organis</w:t>
            </w:r>
            <w:r>
              <w:rPr>
                <w:rFonts w:ascii="Calibri" w:hAnsi="Calibri"/>
                <w:color w:val="000000" w:themeColor="text1"/>
                <w:szCs w:val="20"/>
                <w:lang w:val="ro-RO"/>
              </w:rPr>
              <w:t>a</w:t>
            </w:r>
            <w:r w:rsidRPr="003A7A59">
              <w:rPr>
                <w:rFonts w:ascii="Calibri" w:hAnsi="Calibri"/>
                <w:color w:val="000000" w:themeColor="text1"/>
                <w:szCs w:val="20"/>
                <w:lang w:val="ro-RO"/>
              </w:rPr>
              <w:t xml:space="preserve">tion in order to improve the activity and results of CNADNR </w:t>
            </w:r>
          </w:p>
        </w:tc>
        <w:tc>
          <w:tcPr>
            <w:tcW w:w="1440" w:type="dxa"/>
            <w:vMerge w:val="restart"/>
            <w:vAlign w:val="center"/>
          </w:tcPr>
          <w:p w:rsidR="0060731F" w:rsidRPr="003A7A59" w:rsidRDefault="0060731F" w:rsidP="006F7561">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October 2015</w:t>
            </w:r>
          </w:p>
        </w:tc>
        <w:tc>
          <w:tcPr>
            <w:tcW w:w="1276" w:type="dxa"/>
            <w:vMerge w:val="restart"/>
            <w:vAlign w:val="center"/>
          </w:tcPr>
          <w:p w:rsidR="0060731F" w:rsidRDefault="0060731F" w:rsidP="000A5E82">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MEF/</w:t>
            </w:r>
          </w:p>
          <w:p w:rsidR="0060731F" w:rsidRDefault="0060731F" w:rsidP="000A5E82">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CNADNR</w:t>
            </w:r>
          </w:p>
        </w:tc>
      </w:tr>
      <w:tr w:rsidR="006A684F" w:rsidRPr="006A684F" w:rsidTr="0040322B">
        <w:trPr>
          <w:trHeight w:val="381"/>
          <w:jc w:val="center"/>
        </w:trPr>
        <w:tc>
          <w:tcPr>
            <w:tcW w:w="2435" w:type="dxa"/>
            <w:vMerge/>
            <w:shd w:val="clear" w:color="auto" w:fill="auto"/>
          </w:tcPr>
          <w:p w:rsidR="0060731F" w:rsidRPr="00C768C5" w:rsidRDefault="0060731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0731F" w:rsidRPr="006A684F" w:rsidRDefault="0060731F" w:rsidP="00CD144B">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develop a check list for tender documents for feasibility studies and designs, ensuring that the results will ensure sufficient project maturity</w:t>
            </w:r>
          </w:p>
          <w:p w:rsidR="0060731F" w:rsidRPr="006A684F" w:rsidRDefault="0060731F" w:rsidP="00CD144B">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setting up an internal technical team to verify the technical documentations</w:t>
            </w:r>
          </w:p>
          <w:p w:rsidR="0060731F" w:rsidRPr="006A684F" w:rsidRDefault="0060731F" w:rsidP="00CD144B">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introduce a check list of maturity at signature of works contracts</w:t>
            </w:r>
          </w:p>
          <w:p w:rsidR="0060731F" w:rsidRPr="006A684F" w:rsidRDefault="0060731F" w:rsidP="00CD144B">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providing dedicated and trained staff in charge of environmental compliance</w:t>
            </w:r>
          </w:p>
          <w:p w:rsidR="0060731F" w:rsidRPr="006A684F" w:rsidRDefault="0060731F" w:rsidP="00CD144B">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develop a check list for works contracts to ensure they fully take into account the provisions of Environmental Permits and results of EIA procedures during designing the TA for works</w:t>
            </w:r>
          </w:p>
        </w:tc>
        <w:tc>
          <w:tcPr>
            <w:tcW w:w="1440" w:type="dxa"/>
            <w:vMerge/>
          </w:tcPr>
          <w:p w:rsidR="0060731F" w:rsidRPr="006A684F" w:rsidRDefault="0060731F" w:rsidP="00CB4F3F">
            <w:pPr>
              <w:autoSpaceDE w:val="0"/>
              <w:autoSpaceDN w:val="0"/>
              <w:adjustRightInd w:val="0"/>
              <w:spacing w:after="0" w:line="240" w:lineRule="auto"/>
              <w:jc w:val="center"/>
              <w:rPr>
                <w:rFonts w:ascii="Calibri" w:hAnsi="Calibri"/>
                <w:szCs w:val="20"/>
                <w:lang w:val="ro-RO"/>
              </w:rPr>
            </w:pPr>
          </w:p>
        </w:tc>
        <w:tc>
          <w:tcPr>
            <w:tcW w:w="1276" w:type="dxa"/>
            <w:vMerge/>
          </w:tcPr>
          <w:p w:rsidR="0060731F" w:rsidRPr="006A684F" w:rsidRDefault="0060731F" w:rsidP="00763179">
            <w:pPr>
              <w:autoSpaceDE w:val="0"/>
              <w:autoSpaceDN w:val="0"/>
              <w:adjustRightInd w:val="0"/>
              <w:spacing w:after="0" w:line="240" w:lineRule="auto"/>
              <w:jc w:val="center"/>
              <w:rPr>
                <w:rFonts w:ascii="Calibri" w:hAnsi="Calibri"/>
                <w:szCs w:val="20"/>
                <w:lang w:val="ro-RO"/>
              </w:rPr>
            </w:pPr>
          </w:p>
        </w:tc>
      </w:tr>
      <w:tr w:rsidR="006A684F" w:rsidRPr="006A684F" w:rsidTr="0040322B">
        <w:trPr>
          <w:trHeight w:val="712"/>
          <w:jc w:val="center"/>
        </w:trPr>
        <w:tc>
          <w:tcPr>
            <w:tcW w:w="2435" w:type="dxa"/>
            <w:vMerge w:val="restart"/>
            <w:shd w:val="clear" w:color="auto" w:fill="auto"/>
          </w:tcPr>
          <w:p w:rsidR="0040322B" w:rsidRPr="00C768C5" w:rsidRDefault="0040322B" w:rsidP="0060731F">
            <w:pPr>
              <w:widowControl w:val="0"/>
              <w:autoSpaceDE w:val="0"/>
              <w:autoSpaceDN w:val="0"/>
              <w:adjustRightInd w:val="0"/>
              <w:spacing w:after="0" w:line="240" w:lineRule="auto"/>
              <w:rPr>
                <w:rFonts w:ascii="Calibri" w:eastAsia="Calibri" w:hAnsi="Calibri"/>
                <w:i/>
                <w:iCs/>
                <w:szCs w:val="20"/>
                <w:lang w:val="ro-RO"/>
              </w:rPr>
            </w:pPr>
            <w:r w:rsidRPr="005B02AB">
              <w:rPr>
                <w:rFonts w:ascii="Calibri" w:eastAsia="Calibri" w:hAnsi="Calibri"/>
                <w:i/>
                <w:iCs/>
                <w:szCs w:val="20"/>
                <w:lang w:val="ro-RO"/>
              </w:rPr>
              <w:t>7.2 Railway</w:t>
            </w:r>
          </w:p>
          <w:p w:rsidR="0040322B" w:rsidRPr="00C768C5" w:rsidRDefault="0040322B" w:rsidP="00CF643D">
            <w:pPr>
              <w:autoSpaceDE w:val="0"/>
              <w:autoSpaceDN w:val="0"/>
              <w:adjustRightInd w:val="0"/>
              <w:spacing w:after="0" w:line="240" w:lineRule="auto"/>
              <w:jc w:val="both"/>
              <w:rPr>
                <w:rFonts w:ascii="Calibri" w:eastAsia="Calibri" w:hAnsi="Calibri"/>
                <w:i/>
                <w:iCs/>
                <w:szCs w:val="20"/>
                <w:lang w:val="ro-RO"/>
              </w:rPr>
            </w:pPr>
            <w:r w:rsidRPr="00CF643D">
              <w:rPr>
                <w:rFonts w:ascii="Calibri" w:eastAsia="Calibri" w:hAnsi="Calibri"/>
                <w:i/>
                <w:iCs/>
                <w:szCs w:val="20"/>
                <w:lang w:val="ro-RO"/>
              </w:rPr>
              <w:t xml:space="preserve">Measures to ensure the capacity of intermediary bodies and beneficiaries to deliver the project </w:t>
            </w:r>
            <w:r>
              <w:rPr>
                <w:rFonts w:ascii="Calibri" w:eastAsia="Calibri" w:hAnsi="Calibri"/>
                <w:i/>
                <w:iCs/>
                <w:szCs w:val="20"/>
                <w:lang w:val="ro-RO"/>
              </w:rPr>
              <w:t>pipeline</w:t>
            </w:r>
          </w:p>
        </w:tc>
        <w:tc>
          <w:tcPr>
            <w:tcW w:w="9639" w:type="dxa"/>
            <w:shd w:val="clear" w:color="auto" w:fill="auto"/>
          </w:tcPr>
          <w:p w:rsidR="0040322B" w:rsidRPr="006A684F" w:rsidRDefault="0040322B" w:rsidP="00682FFE">
            <w:pPr>
              <w:autoSpaceDE w:val="0"/>
              <w:autoSpaceDN w:val="0"/>
              <w:adjustRightInd w:val="0"/>
              <w:spacing w:after="120" w:line="240" w:lineRule="auto"/>
              <w:jc w:val="both"/>
              <w:rPr>
                <w:rFonts w:ascii="Calibri" w:hAnsi="Calibri"/>
                <w:i/>
                <w:szCs w:val="20"/>
                <w:lang w:val="ro-RO"/>
              </w:rPr>
            </w:pPr>
            <w:r w:rsidRPr="006A684F">
              <w:rPr>
                <w:rFonts w:ascii="Calibri" w:hAnsi="Calibri"/>
                <w:szCs w:val="20"/>
                <w:lang w:val="ro-RO"/>
              </w:rPr>
              <w:t xml:space="preserve">Development of the administrative capacity of CNCF CFR SA to ensure an adequate management of project portfolio, creating internal expertise for </w:t>
            </w:r>
            <w:r w:rsidRPr="006A684F">
              <w:rPr>
                <w:rFonts w:ascii="Calibri" w:hAnsi="Calibri"/>
                <w:b/>
                <w:szCs w:val="20"/>
                <w:lang w:val="ro-RO"/>
              </w:rPr>
              <w:t>developing a mature project pipeline</w:t>
            </w:r>
            <w:r w:rsidRPr="006A684F">
              <w:rPr>
                <w:rFonts w:ascii="Calibri" w:hAnsi="Calibri"/>
                <w:szCs w:val="20"/>
                <w:lang w:val="ro-RO"/>
              </w:rPr>
              <w:t xml:space="preserve"> and </w:t>
            </w:r>
            <w:r w:rsidRPr="006A684F">
              <w:rPr>
                <w:rFonts w:ascii="Calibri" w:hAnsi="Calibri"/>
                <w:b/>
                <w:szCs w:val="20"/>
                <w:lang w:val="ro-RO"/>
              </w:rPr>
              <w:t>duly implementing the proposed projects, through:</w:t>
            </w:r>
          </w:p>
        </w:tc>
        <w:tc>
          <w:tcPr>
            <w:tcW w:w="1440" w:type="dxa"/>
            <w:vAlign w:val="center"/>
          </w:tcPr>
          <w:p w:rsidR="0040322B" w:rsidRPr="006A684F" w:rsidRDefault="0040322B" w:rsidP="000A5E82">
            <w:pPr>
              <w:widowControl w:val="0"/>
              <w:spacing w:after="0" w:line="240" w:lineRule="auto"/>
              <w:jc w:val="center"/>
              <w:rPr>
                <w:rFonts w:ascii="Calibri" w:eastAsia="Calibri" w:hAnsi="Calibri"/>
                <w:szCs w:val="20"/>
                <w:lang w:val="ro-RO"/>
              </w:rPr>
            </w:pPr>
          </w:p>
        </w:tc>
        <w:tc>
          <w:tcPr>
            <w:tcW w:w="1276" w:type="dxa"/>
            <w:vAlign w:val="center"/>
          </w:tcPr>
          <w:p w:rsidR="0040322B" w:rsidRPr="006A684F" w:rsidRDefault="0040322B" w:rsidP="000A5E82">
            <w:pPr>
              <w:autoSpaceDE w:val="0"/>
              <w:autoSpaceDN w:val="0"/>
              <w:adjustRightInd w:val="0"/>
              <w:spacing w:after="0" w:line="240" w:lineRule="auto"/>
              <w:jc w:val="center"/>
              <w:rPr>
                <w:rFonts w:ascii="Calibri" w:hAnsi="Calibri"/>
                <w:szCs w:val="20"/>
                <w:lang w:val="ro-RO"/>
              </w:rPr>
            </w:pPr>
          </w:p>
        </w:tc>
      </w:tr>
      <w:tr w:rsidR="006A684F" w:rsidRPr="006A684F"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40322B" w:rsidRPr="006A684F" w:rsidRDefault="0040322B" w:rsidP="00682FFE">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coaching and on-the-job training activities for:</w:t>
            </w:r>
          </w:p>
          <w:p w:rsidR="0040322B" w:rsidRPr="006A684F" w:rsidRDefault="0040322B" w:rsidP="00682FFE">
            <w:pPr>
              <w:pStyle w:val="ListParagraph"/>
              <w:numPr>
                <w:ilvl w:val="1"/>
                <w:numId w:val="13"/>
              </w:numPr>
              <w:autoSpaceDE w:val="0"/>
              <w:autoSpaceDN w:val="0"/>
              <w:adjustRightInd w:val="0"/>
              <w:spacing w:after="120" w:line="240" w:lineRule="auto"/>
              <w:jc w:val="both"/>
              <w:rPr>
                <w:rFonts w:ascii="Calibri" w:hAnsi="Calibri"/>
                <w:szCs w:val="20"/>
                <w:lang w:val="ro-RO"/>
              </w:rPr>
            </w:pPr>
            <w:r w:rsidRPr="006A684F">
              <w:rPr>
                <w:rFonts w:ascii="Calibri" w:hAnsi="Calibri"/>
                <w:b/>
                <w:szCs w:val="20"/>
                <w:lang w:val="ro-RO"/>
              </w:rPr>
              <w:t>Project preparation:</w:t>
            </w:r>
            <w:r w:rsidRPr="006A684F">
              <w:rPr>
                <w:rFonts w:ascii="Calibri" w:hAnsi="Calibri"/>
                <w:szCs w:val="20"/>
                <w:lang w:val="ro-RO"/>
              </w:rPr>
              <w:t xml:space="preserve"> preparation of tendering documentations for project development and works, verifying EIA results (based on JASPERS guidelines); analysing and approving technical delivrables (geo-topographical surveys and data interpretation, appropriate estimation of their impact on project budget, CBA) for project preparation, requiring a specific type of expertise; </w:t>
            </w:r>
          </w:p>
          <w:p w:rsidR="0040322B" w:rsidRPr="006A684F" w:rsidRDefault="0040322B" w:rsidP="00682FFE">
            <w:pPr>
              <w:pStyle w:val="ListParagraph"/>
              <w:numPr>
                <w:ilvl w:val="1"/>
                <w:numId w:val="13"/>
              </w:numPr>
              <w:autoSpaceDE w:val="0"/>
              <w:autoSpaceDN w:val="0"/>
              <w:adjustRightInd w:val="0"/>
              <w:spacing w:after="120" w:line="240" w:lineRule="auto"/>
              <w:jc w:val="both"/>
              <w:rPr>
                <w:rFonts w:ascii="Calibri" w:hAnsi="Calibri"/>
                <w:szCs w:val="20"/>
                <w:lang w:val="ro-RO"/>
              </w:rPr>
            </w:pPr>
            <w:r w:rsidRPr="006A684F">
              <w:rPr>
                <w:rFonts w:ascii="Calibri" w:hAnsi="Calibri"/>
                <w:b/>
                <w:szCs w:val="20"/>
                <w:lang w:val="ro-RO"/>
              </w:rPr>
              <w:t>Project implementation:</w:t>
            </w:r>
            <w:r w:rsidRPr="006A684F">
              <w:rPr>
                <w:rFonts w:ascii="Calibri" w:hAnsi="Calibri"/>
                <w:szCs w:val="20"/>
                <w:lang w:val="ro-RO"/>
              </w:rPr>
              <w:t xml:space="preserve"> contract management, streamlined monitoring based on risk assessment and  IT monitoring tool; support in performing on–the–spot checks and invoices verification, preventing fraud and conflict of interest; irregularities.</w:t>
            </w:r>
          </w:p>
        </w:tc>
        <w:tc>
          <w:tcPr>
            <w:tcW w:w="1440" w:type="dxa"/>
          </w:tcPr>
          <w:p w:rsidR="0040322B" w:rsidRPr="006A684F" w:rsidRDefault="0040322B" w:rsidP="00CB4F3F">
            <w:pPr>
              <w:widowControl w:val="0"/>
              <w:spacing w:after="0" w:line="240" w:lineRule="auto"/>
              <w:jc w:val="center"/>
              <w:rPr>
                <w:rFonts w:ascii="Calibri" w:eastAsia="Calibri" w:hAnsi="Calibri"/>
                <w:szCs w:val="20"/>
                <w:lang w:val="ro-RO"/>
              </w:rPr>
            </w:pPr>
            <w:r w:rsidRPr="006A684F">
              <w:rPr>
                <w:rFonts w:ascii="Calibri" w:hAnsi="Calibri"/>
                <w:szCs w:val="20"/>
                <w:lang w:val="ro-RO"/>
              </w:rPr>
              <w:t>January – December  2016</w:t>
            </w:r>
          </w:p>
        </w:tc>
        <w:tc>
          <w:tcPr>
            <w:tcW w:w="1276" w:type="dxa"/>
          </w:tcPr>
          <w:p w:rsidR="0040322B" w:rsidRPr="006A684F" w:rsidRDefault="0040322B" w:rsidP="0040322B">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MEF/ CNADNR</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40322B" w:rsidRPr="003A7A59" w:rsidRDefault="0040322B" w:rsidP="00BD17DC">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development of an evaluation systems for staff performance based on quantified objectives and indicators</w:t>
            </w:r>
            <w:r>
              <w:rPr>
                <w:rFonts w:ascii="Calibri" w:hAnsi="Calibri"/>
                <w:color w:val="000000" w:themeColor="text1"/>
                <w:szCs w:val="20"/>
                <w:lang w:val="ro-RO"/>
              </w:rPr>
              <w:t>, including the necessary legal changes</w:t>
            </w:r>
          </w:p>
        </w:tc>
        <w:tc>
          <w:tcPr>
            <w:tcW w:w="1440" w:type="dxa"/>
          </w:tcPr>
          <w:p w:rsidR="0040322B" w:rsidRPr="003A7A59" w:rsidRDefault="0040322B" w:rsidP="00BD17DC">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December 2015</w:t>
            </w:r>
          </w:p>
        </w:tc>
        <w:tc>
          <w:tcPr>
            <w:tcW w:w="1276" w:type="dxa"/>
          </w:tcPr>
          <w:p w:rsidR="0040322B" w:rsidRPr="006750C3" w:rsidRDefault="0040322B" w:rsidP="00682FFE">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MoT/</w:t>
            </w:r>
            <w:r w:rsidRPr="006750C3">
              <w:rPr>
                <w:rFonts w:ascii="Calibri" w:hAnsi="Calibri"/>
                <w:color w:val="000000"/>
                <w:szCs w:val="20"/>
                <w:lang w:val="ro-RO"/>
              </w:rPr>
              <w:t>C</w:t>
            </w:r>
            <w:r w:rsidRPr="003A7A59">
              <w:rPr>
                <w:rFonts w:ascii="Calibri" w:hAnsi="Calibri"/>
                <w:color w:val="000000" w:themeColor="text1"/>
                <w:szCs w:val="20"/>
                <w:lang w:val="ro-RO"/>
              </w:rPr>
              <w:t xml:space="preserve"> CNCF</w:t>
            </w:r>
            <w:r w:rsidRPr="000A5E82">
              <w:rPr>
                <w:rFonts w:ascii="Calibri" w:hAnsi="Calibri"/>
                <w:szCs w:val="20"/>
                <w:lang w:val="ro-RO"/>
              </w:rPr>
              <w:t xml:space="preserve"> CFR SA</w:t>
            </w:r>
            <w:r>
              <w:rPr>
                <w:rFonts w:ascii="Calibri" w:hAnsi="Calibri"/>
                <w:color w:val="000000"/>
                <w:szCs w:val="20"/>
                <w:lang w:val="ro-RO"/>
              </w:rPr>
              <w:t xml:space="preserve"> /MFE</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40322B" w:rsidRPr="003A7A59" w:rsidRDefault="0040322B" w:rsidP="00BD17DC">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development of an incentives systems from TA allocations</w:t>
            </w:r>
          </w:p>
        </w:tc>
        <w:tc>
          <w:tcPr>
            <w:tcW w:w="1440" w:type="dxa"/>
          </w:tcPr>
          <w:p w:rsidR="0040322B" w:rsidRPr="003A7A59" w:rsidRDefault="0040322B" w:rsidP="00BD17DC">
            <w:pPr>
              <w:autoSpaceDE w:val="0"/>
              <w:autoSpaceDN w:val="0"/>
              <w:adjustRightInd w:val="0"/>
              <w:spacing w:after="0" w:line="240" w:lineRule="auto"/>
              <w:jc w:val="center"/>
              <w:rPr>
                <w:rFonts w:ascii="Calibri" w:hAnsi="Calibri"/>
                <w:color w:val="000000" w:themeColor="text1"/>
                <w:szCs w:val="20"/>
                <w:lang w:val="ro-RO"/>
              </w:rPr>
            </w:pPr>
            <w:r>
              <w:rPr>
                <w:rFonts w:ascii="Calibri" w:hAnsi="Calibri"/>
                <w:color w:val="000000" w:themeColor="text1"/>
                <w:szCs w:val="20"/>
                <w:lang w:val="ro-RO"/>
              </w:rPr>
              <w:t>March 2016</w:t>
            </w:r>
          </w:p>
        </w:tc>
        <w:tc>
          <w:tcPr>
            <w:tcW w:w="1276" w:type="dxa"/>
          </w:tcPr>
          <w:p w:rsidR="0040322B" w:rsidRDefault="0040322B" w:rsidP="00682FFE">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MoT/</w:t>
            </w:r>
          </w:p>
          <w:p w:rsidR="0040322B" w:rsidRPr="006750C3" w:rsidRDefault="0040322B" w:rsidP="00682FFE">
            <w:pPr>
              <w:autoSpaceDE w:val="0"/>
              <w:autoSpaceDN w:val="0"/>
              <w:adjustRightInd w:val="0"/>
              <w:spacing w:after="0" w:line="240" w:lineRule="auto"/>
              <w:jc w:val="center"/>
              <w:rPr>
                <w:rFonts w:ascii="Calibri" w:hAnsi="Calibri"/>
                <w:color w:val="000000"/>
                <w:szCs w:val="20"/>
                <w:lang w:val="ro-RO"/>
              </w:rPr>
            </w:pPr>
            <w:r w:rsidRPr="003A7A59">
              <w:rPr>
                <w:rFonts w:ascii="Calibri" w:hAnsi="Calibri"/>
                <w:color w:val="000000" w:themeColor="text1"/>
                <w:szCs w:val="20"/>
                <w:lang w:val="ro-RO"/>
              </w:rPr>
              <w:t>CNCF</w:t>
            </w:r>
            <w:r w:rsidRPr="000A5E82">
              <w:rPr>
                <w:rFonts w:ascii="Calibri" w:hAnsi="Calibri"/>
                <w:szCs w:val="20"/>
                <w:lang w:val="ro-RO"/>
              </w:rPr>
              <w:t xml:space="preserve"> CFR SA</w:t>
            </w:r>
            <w:r>
              <w:rPr>
                <w:rFonts w:ascii="Calibri" w:hAnsi="Calibri"/>
                <w:color w:val="000000"/>
                <w:szCs w:val="20"/>
                <w:lang w:val="ro-RO"/>
              </w:rPr>
              <w:t xml:space="preserve"> /MFE</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40322B" w:rsidRPr="003A7A59" w:rsidRDefault="0040322B" w:rsidP="00682FFE">
            <w:p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Updating the administrative procedure for project management and internal organis</w:t>
            </w:r>
            <w:r>
              <w:rPr>
                <w:rFonts w:ascii="Calibri" w:hAnsi="Calibri"/>
                <w:color w:val="000000" w:themeColor="text1"/>
                <w:szCs w:val="20"/>
                <w:lang w:val="ro-RO"/>
              </w:rPr>
              <w:t>a</w:t>
            </w:r>
            <w:r w:rsidRPr="003A7A59">
              <w:rPr>
                <w:rFonts w:ascii="Calibri" w:hAnsi="Calibri"/>
                <w:color w:val="000000" w:themeColor="text1"/>
                <w:szCs w:val="20"/>
                <w:lang w:val="ro-RO"/>
              </w:rPr>
              <w:t>tion in order to improve the activity and results of CNCF CFR SA</w:t>
            </w:r>
          </w:p>
        </w:tc>
        <w:tc>
          <w:tcPr>
            <w:tcW w:w="1440" w:type="dxa"/>
            <w:vMerge w:val="restart"/>
            <w:vAlign w:val="center"/>
          </w:tcPr>
          <w:p w:rsidR="0040322B" w:rsidRPr="003A7A59" w:rsidRDefault="0040322B" w:rsidP="006F7561">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October 2015</w:t>
            </w:r>
          </w:p>
        </w:tc>
        <w:tc>
          <w:tcPr>
            <w:tcW w:w="1276" w:type="dxa"/>
          </w:tcPr>
          <w:p w:rsidR="0040322B" w:rsidRDefault="0040322B" w:rsidP="006319E6">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MoEF/</w:t>
            </w:r>
          </w:p>
          <w:p w:rsidR="0040322B" w:rsidRDefault="0040322B" w:rsidP="006319E6">
            <w:pPr>
              <w:autoSpaceDE w:val="0"/>
              <w:autoSpaceDN w:val="0"/>
              <w:adjustRightInd w:val="0"/>
              <w:spacing w:after="0" w:line="240" w:lineRule="auto"/>
              <w:jc w:val="center"/>
              <w:rPr>
                <w:rFonts w:ascii="Calibri" w:hAnsi="Calibri"/>
                <w:color w:val="000000"/>
                <w:szCs w:val="20"/>
                <w:lang w:val="ro-RO"/>
              </w:rPr>
            </w:pPr>
            <w:r w:rsidRPr="003A7A59">
              <w:rPr>
                <w:rFonts w:ascii="Calibri" w:hAnsi="Calibri"/>
                <w:color w:val="000000" w:themeColor="text1"/>
                <w:szCs w:val="20"/>
                <w:lang w:val="ro-RO"/>
              </w:rPr>
              <w:t>CNCF</w:t>
            </w:r>
            <w:r w:rsidRPr="000A5E82">
              <w:rPr>
                <w:rFonts w:ascii="Calibri" w:hAnsi="Calibri"/>
                <w:szCs w:val="20"/>
                <w:lang w:val="ro-RO"/>
              </w:rPr>
              <w:t xml:space="preserve"> CFR SA</w:t>
            </w:r>
          </w:p>
        </w:tc>
      </w:tr>
      <w:tr w:rsidR="0040322B" w:rsidRPr="003A7A59"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bottom w:val="single" w:sz="4" w:space="0" w:color="auto"/>
            </w:tcBorders>
            <w:shd w:val="clear" w:color="auto" w:fill="auto"/>
          </w:tcPr>
          <w:p w:rsidR="0040322B" w:rsidRPr="003A7A59" w:rsidRDefault="0040322B"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 a check list for tender documents for feasibility studies and designs, ensuring that the results will ensure sufficient project maturity</w:t>
            </w:r>
          </w:p>
          <w:p w:rsidR="0040322B" w:rsidRPr="003A7A59" w:rsidRDefault="0040322B"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lastRenderedPageBreak/>
              <w:t>setting up an internal technical team to verify the technical documentations</w:t>
            </w:r>
          </w:p>
          <w:p w:rsidR="0040322B" w:rsidRPr="003A7A59" w:rsidRDefault="0040322B"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introduce a check list of maturity at signature of works contracts</w:t>
            </w:r>
          </w:p>
          <w:p w:rsidR="0040322B" w:rsidRPr="003A7A59" w:rsidRDefault="0040322B"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providing dedicated and trained staff in charge of environmental compliance</w:t>
            </w:r>
          </w:p>
          <w:p w:rsidR="0040322B" w:rsidRPr="003A7A59" w:rsidRDefault="0040322B" w:rsidP="00CD144B">
            <w:pPr>
              <w:pStyle w:val="ListParagraph"/>
              <w:numPr>
                <w:ilvl w:val="0"/>
                <w:numId w:val="13"/>
              </w:numPr>
              <w:autoSpaceDE w:val="0"/>
              <w:autoSpaceDN w:val="0"/>
              <w:adjustRightInd w:val="0"/>
              <w:spacing w:after="120" w:line="240" w:lineRule="auto"/>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develop a check list for works contracts to ensure they fully take into account the provisions of Environmental Permits and results of EIA procedures during designing the TA for works</w:t>
            </w:r>
            <w:r>
              <w:rPr>
                <w:rFonts w:ascii="Calibri" w:hAnsi="Calibri"/>
                <w:color w:val="000000" w:themeColor="text1"/>
                <w:szCs w:val="20"/>
                <w:lang w:val="ro-RO"/>
              </w:rPr>
              <w:t xml:space="preserve"> </w:t>
            </w:r>
          </w:p>
        </w:tc>
        <w:tc>
          <w:tcPr>
            <w:tcW w:w="1440" w:type="dxa"/>
            <w:vMerge/>
            <w:tcBorders>
              <w:bottom w:val="single" w:sz="4" w:space="0" w:color="auto"/>
            </w:tcBorders>
          </w:tcPr>
          <w:p w:rsidR="0040322B" w:rsidRPr="003A7A59" w:rsidRDefault="0040322B" w:rsidP="00682FFE">
            <w:pPr>
              <w:autoSpaceDE w:val="0"/>
              <w:autoSpaceDN w:val="0"/>
              <w:adjustRightInd w:val="0"/>
              <w:spacing w:after="0" w:line="240" w:lineRule="auto"/>
              <w:jc w:val="center"/>
              <w:rPr>
                <w:rFonts w:ascii="Calibri" w:hAnsi="Calibri"/>
                <w:color w:val="000000" w:themeColor="text1"/>
                <w:szCs w:val="20"/>
                <w:lang w:val="ro-RO"/>
              </w:rPr>
            </w:pPr>
          </w:p>
        </w:tc>
        <w:tc>
          <w:tcPr>
            <w:tcW w:w="1276" w:type="dxa"/>
            <w:tcBorders>
              <w:bottom w:val="single" w:sz="4" w:space="0" w:color="auto"/>
            </w:tcBorders>
          </w:tcPr>
          <w:p w:rsidR="0040322B" w:rsidRPr="003A7A59" w:rsidRDefault="0040322B" w:rsidP="00682FFE">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MFE</w:t>
            </w:r>
          </w:p>
        </w:tc>
      </w:tr>
      <w:tr w:rsidR="0040322B" w:rsidRPr="003A7A59"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tcBorders>
            <w:shd w:val="clear" w:color="auto" w:fill="auto"/>
          </w:tcPr>
          <w:p w:rsidR="0040322B" w:rsidRPr="006A684F" w:rsidRDefault="0040322B" w:rsidP="00682FFE">
            <w:pPr>
              <w:autoSpaceDE w:val="0"/>
              <w:autoSpaceDN w:val="0"/>
              <w:adjustRightInd w:val="0"/>
              <w:spacing w:after="120" w:line="240" w:lineRule="auto"/>
              <w:jc w:val="both"/>
              <w:rPr>
                <w:rFonts w:ascii="Calibri" w:hAnsi="Calibri"/>
                <w:szCs w:val="20"/>
                <w:lang w:val="ro-RO"/>
              </w:rPr>
            </w:pPr>
            <w:r w:rsidRPr="006A684F">
              <w:rPr>
                <w:rFonts w:ascii="Calibri" w:hAnsi="Calibri"/>
                <w:szCs w:val="20"/>
                <w:lang w:val="ro-RO"/>
              </w:rPr>
              <w:t>Administrative capacity support for Authority for Railway Reform (support for tendering procedure and contract management for studies to justify the proposed measures) in order to underpin the reform measures and to conduct the structural reform in the sector</w:t>
            </w:r>
          </w:p>
        </w:tc>
        <w:tc>
          <w:tcPr>
            <w:tcW w:w="1440" w:type="dxa"/>
            <w:tcBorders>
              <w:top w:val="single" w:sz="4" w:space="0" w:color="auto"/>
            </w:tcBorders>
          </w:tcPr>
          <w:p w:rsidR="0040322B" w:rsidRPr="006A684F" w:rsidRDefault="0040322B" w:rsidP="00CB4F3F">
            <w:pPr>
              <w:widowControl w:val="0"/>
              <w:spacing w:after="0" w:line="240" w:lineRule="auto"/>
              <w:jc w:val="center"/>
              <w:rPr>
                <w:rFonts w:ascii="Calibri" w:eastAsia="Calibri" w:hAnsi="Calibri"/>
                <w:szCs w:val="20"/>
                <w:lang w:val="ro-RO"/>
              </w:rPr>
            </w:pPr>
          </w:p>
        </w:tc>
        <w:tc>
          <w:tcPr>
            <w:tcW w:w="1276" w:type="dxa"/>
            <w:tcBorders>
              <w:top w:val="single" w:sz="4" w:space="0" w:color="auto"/>
            </w:tcBorders>
          </w:tcPr>
          <w:p w:rsidR="0040322B" w:rsidRPr="003A7A59" w:rsidRDefault="0040322B" w:rsidP="00682FFE">
            <w:pPr>
              <w:autoSpaceDE w:val="0"/>
              <w:autoSpaceDN w:val="0"/>
              <w:adjustRightInd w:val="0"/>
              <w:spacing w:after="0" w:line="240" w:lineRule="auto"/>
              <w:jc w:val="both"/>
              <w:rPr>
                <w:rFonts w:ascii="Calibri" w:hAnsi="Calibri"/>
                <w:color w:val="000000" w:themeColor="text1"/>
                <w:szCs w:val="20"/>
                <w:lang w:val="ro-RO"/>
              </w:rPr>
            </w:pPr>
          </w:p>
        </w:tc>
      </w:tr>
      <w:tr w:rsidR="0040322B" w:rsidRPr="003A7A59"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bottom w:val="single" w:sz="4" w:space="0" w:color="auto"/>
            </w:tcBorders>
            <w:shd w:val="clear" w:color="auto" w:fill="auto"/>
          </w:tcPr>
          <w:p w:rsidR="0040322B" w:rsidRPr="006A684F" w:rsidRDefault="0040322B" w:rsidP="00BD17DC">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Setting-up of ARF</w:t>
            </w:r>
          </w:p>
        </w:tc>
        <w:tc>
          <w:tcPr>
            <w:tcW w:w="1440" w:type="dxa"/>
            <w:tcBorders>
              <w:top w:val="single" w:sz="4" w:space="0" w:color="auto"/>
              <w:bottom w:val="single" w:sz="4" w:space="0" w:color="auto"/>
            </w:tcBorders>
          </w:tcPr>
          <w:p w:rsidR="0040322B" w:rsidRPr="006A684F" w:rsidRDefault="0040322B" w:rsidP="00682FFE">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July 2015</w:t>
            </w:r>
          </w:p>
        </w:tc>
        <w:tc>
          <w:tcPr>
            <w:tcW w:w="1276" w:type="dxa"/>
            <w:tcBorders>
              <w:top w:val="single" w:sz="4" w:space="0" w:color="auto"/>
              <w:bottom w:val="single" w:sz="4" w:space="0" w:color="auto"/>
            </w:tcBorders>
          </w:tcPr>
          <w:p w:rsidR="0040322B" w:rsidRPr="007D0740" w:rsidRDefault="0040322B" w:rsidP="000D1F32">
            <w:pPr>
              <w:autoSpaceDE w:val="0"/>
              <w:autoSpaceDN w:val="0"/>
              <w:adjustRightInd w:val="0"/>
              <w:spacing w:after="0" w:line="240" w:lineRule="auto"/>
              <w:jc w:val="center"/>
              <w:rPr>
                <w:rFonts w:ascii="Calibri" w:hAnsi="Calibri"/>
                <w:b/>
                <w:color w:val="000000" w:themeColor="text1"/>
                <w:szCs w:val="20"/>
                <w:lang w:val="ro-RO"/>
              </w:rPr>
            </w:pPr>
            <w:r w:rsidRPr="007D0740">
              <w:rPr>
                <w:rFonts w:ascii="Calibri" w:hAnsi="Calibri"/>
                <w:b/>
                <w:color w:val="000000" w:themeColor="text1"/>
                <w:szCs w:val="20"/>
                <w:lang w:val="ro-RO"/>
              </w:rPr>
              <w:t>MoT</w:t>
            </w:r>
          </w:p>
        </w:tc>
      </w:tr>
      <w:tr w:rsidR="0040322B" w:rsidRPr="003A7A59"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tcBorders>
            <w:shd w:val="clear" w:color="auto" w:fill="auto"/>
          </w:tcPr>
          <w:p w:rsidR="0040322B" w:rsidRPr="006A684F" w:rsidRDefault="0040322B" w:rsidP="007D0740">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 xml:space="preserve">Operationalization of ARF,  through appropriate staffing and clatification of compentencies and functioning procedures </w:t>
            </w:r>
          </w:p>
        </w:tc>
        <w:tc>
          <w:tcPr>
            <w:tcW w:w="1440" w:type="dxa"/>
            <w:tcBorders>
              <w:top w:val="single" w:sz="4" w:space="0" w:color="auto"/>
            </w:tcBorders>
            <w:shd w:val="clear" w:color="auto" w:fill="auto"/>
          </w:tcPr>
          <w:p w:rsidR="0040322B" w:rsidRPr="006A684F" w:rsidRDefault="0040322B" w:rsidP="00682FFE">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November 2015</w:t>
            </w:r>
          </w:p>
        </w:tc>
        <w:tc>
          <w:tcPr>
            <w:tcW w:w="1276" w:type="dxa"/>
            <w:tcBorders>
              <w:top w:val="single" w:sz="4" w:space="0" w:color="auto"/>
            </w:tcBorders>
            <w:shd w:val="clear" w:color="auto" w:fill="auto"/>
          </w:tcPr>
          <w:p w:rsidR="0040322B" w:rsidRPr="007D0740" w:rsidRDefault="0040322B" w:rsidP="000D1F32">
            <w:pPr>
              <w:autoSpaceDE w:val="0"/>
              <w:autoSpaceDN w:val="0"/>
              <w:adjustRightInd w:val="0"/>
              <w:spacing w:after="0" w:line="240" w:lineRule="auto"/>
              <w:jc w:val="center"/>
              <w:rPr>
                <w:rFonts w:ascii="Calibri" w:hAnsi="Calibri"/>
                <w:b/>
                <w:szCs w:val="20"/>
                <w:lang w:val="ro-RO"/>
              </w:rPr>
            </w:pPr>
            <w:r w:rsidRPr="007D0740">
              <w:rPr>
                <w:rFonts w:ascii="Calibri" w:hAnsi="Calibri"/>
                <w:b/>
                <w:szCs w:val="20"/>
                <w:lang w:val="ro-RO"/>
              </w:rPr>
              <w:t>MoT</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tcBorders>
            <w:shd w:val="clear" w:color="auto" w:fill="auto"/>
          </w:tcPr>
          <w:p w:rsidR="0040322B" w:rsidRPr="006A684F" w:rsidRDefault="0040322B" w:rsidP="007D0740">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Launching a public tender for services needed to support ARF activities</w:t>
            </w:r>
          </w:p>
        </w:tc>
        <w:tc>
          <w:tcPr>
            <w:tcW w:w="1440" w:type="dxa"/>
            <w:tcBorders>
              <w:top w:val="single" w:sz="4" w:space="0" w:color="auto"/>
            </w:tcBorders>
            <w:shd w:val="clear" w:color="auto" w:fill="auto"/>
          </w:tcPr>
          <w:p w:rsidR="0040322B" w:rsidRPr="006A684F" w:rsidRDefault="0040322B" w:rsidP="00682FFE">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September 2015</w:t>
            </w:r>
          </w:p>
        </w:tc>
        <w:tc>
          <w:tcPr>
            <w:tcW w:w="1276" w:type="dxa"/>
            <w:tcBorders>
              <w:top w:val="single" w:sz="4" w:space="0" w:color="auto"/>
            </w:tcBorders>
            <w:shd w:val="clear" w:color="auto" w:fill="auto"/>
          </w:tcPr>
          <w:p w:rsidR="0040322B" w:rsidRPr="007D0740" w:rsidRDefault="0040322B" w:rsidP="000D1F32">
            <w:pPr>
              <w:autoSpaceDE w:val="0"/>
              <w:autoSpaceDN w:val="0"/>
              <w:adjustRightInd w:val="0"/>
              <w:spacing w:after="0" w:line="240" w:lineRule="auto"/>
              <w:jc w:val="center"/>
              <w:rPr>
                <w:rFonts w:ascii="Calibri" w:hAnsi="Calibri"/>
                <w:b/>
                <w:szCs w:val="20"/>
                <w:lang w:val="ro-RO"/>
              </w:rPr>
            </w:pPr>
            <w:r w:rsidRPr="007D0740">
              <w:rPr>
                <w:rFonts w:ascii="Calibri" w:hAnsi="Calibri"/>
                <w:b/>
                <w:szCs w:val="20"/>
                <w:lang w:val="ro-RO"/>
              </w:rPr>
              <w:t>MoT</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bottom w:val="single" w:sz="4" w:space="0" w:color="auto"/>
            </w:tcBorders>
            <w:shd w:val="clear" w:color="auto" w:fill="auto"/>
          </w:tcPr>
          <w:p w:rsidR="0040322B" w:rsidRPr="006A684F" w:rsidRDefault="0040322B" w:rsidP="00BD17DC">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Concluding service contract for ARF support</w:t>
            </w:r>
          </w:p>
        </w:tc>
        <w:tc>
          <w:tcPr>
            <w:tcW w:w="1440" w:type="dxa"/>
            <w:tcBorders>
              <w:top w:val="single" w:sz="4" w:space="0" w:color="auto"/>
              <w:bottom w:val="single" w:sz="4" w:space="0" w:color="auto"/>
            </w:tcBorders>
            <w:shd w:val="clear" w:color="auto" w:fill="auto"/>
          </w:tcPr>
          <w:p w:rsidR="0040322B" w:rsidRPr="006A684F" w:rsidRDefault="0040322B" w:rsidP="00682FFE">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February 2016</w:t>
            </w:r>
          </w:p>
        </w:tc>
        <w:tc>
          <w:tcPr>
            <w:tcW w:w="1276" w:type="dxa"/>
            <w:tcBorders>
              <w:top w:val="single" w:sz="4" w:space="0" w:color="auto"/>
              <w:bottom w:val="single" w:sz="4" w:space="0" w:color="auto"/>
            </w:tcBorders>
            <w:shd w:val="clear" w:color="auto" w:fill="auto"/>
          </w:tcPr>
          <w:p w:rsidR="0040322B" w:rsidRPr="007D0740" w:rsidRDefault="0040322B" w:rsidP="000D1F32">
            <w:pPr>
              <w:autoSpaceDE w:val="0"/>
              <w:autoSpaceDN w:val="0"/>
              <w:adjustRightInd w:val="0"/>
              <w:spacing w:after="0" w:line="240" w:lineRule="auto"/>
              <w:jc w:val="center"/>
              <w:rPr>
                <w:rFonts w:ascii="Calibri" w:hAnsi="Calibri"/>
                <w:b/>
                <w:szCs w:val="20"/>
                <w:lang w:val="ro-RO"/>
              </w:rPr>
            </w:pPr>
            <w:r w:rsidRPr="007D0740">
              <w:rPr>
                <w:rFonts w:ascii="Calibri" w:hAnsi="Calibri"/>
                <w:b/>
                <w:szCs w:val="20"/>
                <w:lang w:val="ro-RO"/>
              </w:rPr>
              <w:t>MoT/ARF</w:t>
            </w:r>
          </w:p>
        </w:tc>
      </w:tr>
      <w:tr w:rsidR="0040322B" w:rsidRPr="00C768C5" w:rsidTr="0040322B">
        <w:trPr>
          <w:trHeight w:val="70"/>
          <w:jc w:val="center"/>
        </w:trPr>
        <w:tc>
          <w:tcPr>
            <w:tcW w:w="2435" w:type="dxa"/>
            <w:vMerge/>
            <w:shd w:val="clear" w:color="auto" w:fill="auto"/>
            <w:textDirection w:val="btLr"/>
          </w:tcPr>
          <w:p w:rsidR="0040322B" w:rsidRPr="00C768C5" w:rsidRDefault="0040322B"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bottom w:val="single" w:sz="4" w:space="0" w:color="auto"/>
            </w:tcBorders>
            <w:shd w:val="clear" w:color="auto" w:fill="auto"/>
          </w:tcPr>
          <w:p w:rsidR="0040322B" w:rsidRPr="006A684F" w:rsidRDefault="0040322B" w:rsidP="009B372D">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Launching the tender procedure for economic analysis of the railway network (LIOP)</w:t>
            </w:r>
          </w:p>
        </w:tc>
        <w:tc>
          <w:tcPr>
            <w:tcW w:w="1440" w:type="dxa"/>
            <w:tcBorders>
              <w:top w:val="single" w:sz="4" w:space="0" w:color="auto"/>
              <w:bottom w:val="single" w:sz="4" w:space="0" w:color="auto"/>
            </w:tcBorders>
            <w:shd w:val="clear" w:color="auto" w:fill="auto"/>
          </w:tcPr>
          <w:p w:rsidR="0040322B" w:rsidRPr="006A684F" w:rsidRDefault="0040322B" w:rsidP="006F150D">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March 2016</w:t>
            </w:r>
          </w:p>
        </w:tc>
        <w:tc>
          <w:tcPr>
            <w:tcW w:w="1276" w:type="dxa"/>
            <w:tcBorders>
              <w:top w:val="single" w:sz="4" w:space="0" w:color="auto"/>
              <w:bottom w:val="single" w:sz="4" w:space="0" w:color="auto"/>
            </w:tcBorders>
            <w:shd w:val="clear" w:color="auto" w:fill="auto"/>
          </w:tcPr>
          <w:p w:rsidR="0040322B" w:rsidRPr="007D0740" w:rsidRDefault="0040322B" w:rsidP="006F150D">
            <w:pPr>
              <w:autoSpaceDE w:val="0"/>
              <w:autoSpaceDN w:val="0"/>
              <w:adjustRightInd w:val="0"/>
              <w:spacing w:after="0" w:line="240" w:lineRule="auto"/>
              <w:jc w:val="center"/>
              <w:rPr>
                <w:rFonts w:ascii="Calibri" w:hAnsi="Calibri"/>
                <w:b/>
                <w:szCs w:val="20"/>
                <w:lang w:val="ro-RO"/>
              </w:rPr>
            </w:pPr>
            <w:r w:rsidRPr="007D0740">
              <w:rPr>
                <w:rFonts w:ascii="Calibri" w:hAnsi="Calibri"/>
                <w:b/>
                <w:szCs w:val="20"/>
                <w:lang w:val="ro-RO"/>
              </w:rPr>
              <w:t>MoT/ARF</w:t>
            </w:r>
          </w:p>
        </w:tc>
      </w:tr>
      <w:tr w:rsidR="0040322B" w:rsidRPr="00C768C5" w:rsidTr="0040322B">
        <w:trPr>
          <w:trHeight w:val="70"/>
          <w:jc w:val="center"/>
        </w:trPr>
        <w:tc>
          <w:tcPr>
            <w:tcW w:w="2435" w:type="dxa"/>
            <w:vMerge/>
            <w:tcBorders>
              <w:bottom w:val="single" w:sz="4" w:space="0" w:color="auto"/>
            </w:tcBorders>
            <w:shd w:val="clear" w:color="auto" w:fill="auto"/>
          </w:tcPr>
          <w:p w:rsidR="0040322B" w:rsidRPr="00C768C5" w:rsidRDefault="0040322B" w:rsidP="0040322B">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bottom w:val="single" w:sz="4" w:space="0" w:color="auto"/>
            </w:tcBorders>
            <w:shd w:val="clear" w:color="auto" w:fill="auto"/>
          </w:tcPr>
          <w:p w:rsidR="0040322B" w:rsidRPr="006A684F" w:rsidRDefault="0040322B" w:rsidP="009B372D">
            <w:pPr>
              <w:pStyle w:val="ListParagraph"/>
              <w:numPr>
                <w:ilvl w:val="0"/>
                <w:numId w:val="13"/>
              </w:numPr>
              <w:autoSpaceDE w:val="0"/>
              <w:autoSpaceDN w:val="0"/>
              <w:adjustRightInd w:val="0"/>
              <w:spacing w:after="120" w:line="240" w:lineRule="auto"/>
              <w:contextualSpacing w:val="0"/>
              <w:jc w:val="both"/>
              <w:rPr>
                <w:rFonts w:ascii="Calibri" w:hAnsi="Calibri"/>
                <w:szCs w:val="20"/>
                <w:lang w:val="ro-RO"/>
              </w:rPr>
            </w:pPr>
            <w:r w:rsidRPr="006A684F">
              <w:rPr>
                <w:rFonts w:ascii="Calibri" w:hAnsi="Calibri"/>
                <w:szCs w:val="20"/>
                <w:lang w:val="ro-RO"/>
              </w:rPr>
              <w:t>Launching the socio-economic analysis regarding the railway network to underpin the reform measures (signing the service contract)</w:t>
            </w:r>
          </w:p>
        </w:tc>
        <w:tc>
          <w:tcPr>
            <w:tcW w:w="1440" w:type="dxa"/>
            <w:tcBorders>
              <w:top w:val="single" w:sz="4" w:space="0" w:color="auto"/>
              <w:bottom w:val="single" w:sz="4" w:space="0" w:color="auto"/>
            </w:tcBorders>
            <w:shd w:val="clear" w:color="auto" w:fill="auto"/>
          </w:tcPr>
          <w:p w:rsidR="0040322B" w:rsidRPr="006A684F" w:rsidRDefault="0040322B" w:rsidP="006F150D">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July 2016</w:t>
            </w:r>
          </w:p>
        </w:tc>
        <w:tc>
          <w:tcPr>
            <w:tcW w:w="1276" w:type="dxa"/>
            <w:tcBorders>
              <w:top w:val="single" w:sz="4" w:space="0" w:color="auto"/>
              <w:bottom w:val="single" w:sz="4" w:space="0" w:color="auto"/>
            </w:tcBorders>
            <w:shd w:val="clear" w:color="auto" w:fill="auto"/>
          </w:tcPr>
          <w:p w:rsidR="0040322B" w:rsidRPr="006A684F" w:rsidRDefault="0040322B" w:rsidP="006F150D">
            <w:pPr>
              <w:autoSpaceDE w:val="0"/>
              <w:autoSpaceDN w:val="0"/>
              <w:adjustRightInd w:val="0"/>
              <w:spacing w:after="0" w:line="240" w:lineRule="auto"/>
              <w:jc w:val="center"/>
              <w:rPr>
                <w:rFonts w:ascii="Calibri" w:hAnsi="Calibri"/>
                <w:szCs w:val="20"/>
                <w:lang w:val="ro-RO"/>
              </w:rPr>
            </w:pPr>
            <w:r w:rsidRPr="006A684F">
              <w:rPr>
                <w:rFonts w:ascii="Calibri" w:hAnsi="Calibri"/>
                <w:szCs w:val="20"/>
                <w:lang w:val="ro-RO"/>
              </w:rPr>
              <w:t>ARF/MoT</w:t>
            </w:r>
          </w:p>
        </w:tc>
      </w:tr>
      <w:tr w:rsidR="006A684F" w:rsidRPr="00C768C5" w:rsidTr="0040322B">
        <w:trPr>
          <w:cantSplit/>
          <w:trHeight w:val="407"/>
          <w:jc w:val="center"/>
        </w:trPr>
        <w:tc>
          <w:tcPr>
            <w:tcW w:w="2435" w:type="dxa"/>
            <w:vMerge w:val="restart"/>
            <w:shd w:val="clear" w:color="auto" w:fill="auto"/>
          </w:tcPr>
          <w:p w:rsidR="006A684F" w:rsidRDefault="006A684F" w:rsidP="0040322B">
            <w:pPr>
              <w:widowControl w:val="0"/>
              <w:autoSpaceDE w:val="0"/>
              <w:autoSpaceDN w:val="0"/>
              <w:adjustRightInd w:val="0"/>
              <w:spacing w:after="0" w:line="240" w:lineRule="auto"/>
              <w:jc w:val="both"/>
              <w:rPr>
                <w:rFonts w:ascii="Calibri" w:eastAsia="Calibri" w:hAnsi="Calibri"/>
                <w:i/>
                <w:iCs/>
                <w:szCs w:val="20"/>
                <w:lang w:val="ro-RO"/>
              </w:rPr>
            </w:pPr>
            <w:r w:rsidRPr="005B02AB">
              <w:rPr>
                <w:rFonts w:ascii="Calibri" w:eastAsia="Calibri" w:hAnsi="Calibri"/>
                <w:i/>
                <w:iCs/>
                <w:szCs w:val="20"/>
                <w:lang w:val="ro-RO"/>
              </w:rPr>
              <w:t>7.3. Other modes of transport, including inland-waterways and maritime transport, ports, multimodal li</w:t>
            </w:r>
            <w:r>
              <w:rPr>
                <w:rFonts w:ascii="Calibri" w:eastAsia="Calibri" w:hAnsi="Calibri"/>
                <w:i/>
                <w:iCs/>
                <w:szCs w:val="20"/>
                <w:lang w:val="ro-RO"/>
              </w:rPr>
              <w:t>nks and airport infrastructure</w:t>
            </w:r>
          </w:p>
          <w:p w:rsidR="006A684F" w:rsidRDefault="006A684F" w:rsidP="0040322B">
            <w:pPr>
              <w:widowControl w:val="0"/>
              <w:autoSpaceDE w:val="0"/>
              <w:autoSpaceDN w:val="0"/>
              <w:adjustRightInd w:val="0"/>
              <w:spacing w:after="0" w:line="240" w:lineRule="auto"/>
              <w:jc w:val="both"/>
              <w:rPr>
                <w:rFonts w:ascii="Calibri" w:eastAsia="Calibri" w:hAnsi="Calibri"/>
                <w:i/>
                <w:iCs/>
                <w:szCs w:val="20"/>
                <w:lang w:val="ro-RO"/>
              </w:rPr>
            </w:pPr>
          </w:p>
          <w:p w:rsidR="006A684F" w:rsidRPr="00C768C5" w:rsidRDefault="006A684F" w:rsidP="0040322B">
            <w:pPr>
              <w:widowControl w:val="0"/>
              <w:autoSpaceDE w:val="0"/>
              <w:autoSpaceDN w:val="0"/>
              <w:adjustRightInd w:val="0"/>
              <w:spacing w:after="0" w:line="240" w:lineRule="auto"/>
              <w:jc w:val="both"/>
              <w:rPr>
                <w:rFonts w:ascii="Calibri" w:eastAsia="Calibri" w:hAnsi="Calibri"/>
                <w:i/>
                <w:iCs/>
                <w:szCs w:val="20"/>
                <w:lang w:val="ro-RO"/>
              </w:rPr>
            </w:pPr>
          </w:p>
          <w:p w:rsidR="006A684F" w:rsidRPr="00C768C5" w:rsidRDefault="006A684F" w:rsidP="0040322B">
            <w:pPr>
              <w:autoSpaceDE w:val="0"/>
              <w:autoSpaceDN w:val="0"/>
              <w:adjustRightInd w:val="0"/>
              <w:spacing w:after="0" w:line="240" w:lineRule="auto"/>
              <w:jc w:val="both"/>
              <w:rPr>
                <w:rFonts w:ascii="Calibri" w:eastAsia="Calibri" w:hAnsi="Calibri"/>
                <w:i/>
                <w:iCs/>
                <w:szCs w:val="20"/>
                <w:lang w:val="ro-RO"/>
              </w:rPr>
            </w:pPr>
            <w:r w:rsidRPr="00056B07">
              <w:rPr>
                <w:rFonts w:ascii="Calibri" w:eastAsia="Calibri" w:hAnsi="Calibri"/>
                <w:i/>
                <w:iCs/>
                <w:szCs w:val="20"/>
                <w:lang w:val="ro-RO"/>
              </w:rPr>
              <w:t>Measures to ensure the capacity of intermediary bodies and beneficiaries to deliver the project pipeline</w:t>
            </w:r>
          </w:p>
        </w:tc>
        <w:tc>
          <w:tcPr>
            <w:tcW w:w="9639" w:type="dxa"/>
            <w:tcBorders>
              <w:top w:val="single" w:sz="4" w:space="0" w:color="auto"/>
              <w:bottom w:val="single" w:sz="4" w:space="0" w:color="auto"/>
            </w:tcBorders>
            <w:shd w:val="clear" w:color="auto" w:fill="auto"/>
          </w:tcPr>
          <w:p w:rsidR="006A684F" w:rsidRPr="003A7A59" w:rsidRDefault="006A684F" w:rsidP="00682FFE">
            <w:pPr>
              <w:pStyle w:val="ListParagraph"/>
              <w:autoSpaceDE w:val="0"/>
              <w:autoSpaceDN w:val="0"/>
              <w:adjustRightInd w:val="0"/>
              <w:spacing w:after="120" w:line="240" w:lineRule="auto"/>
              <w:ind w:left="0"/>
              <w:contextualSpacing w:val="0"/>
              <w:jc w:val="both"/>
              <w:rPr>
                <w:rFonts w:ascii="Calibri" w:hAnsi="Calibri"/>
                <w:color w:val="000000" w:themeColor="text1"/>
                <w:szCs w:val="20"/>
                <w:lang w:val="ro-RO"/>
              </w:rPr>
            </w:pPr>
            <w:r w:rsidRPr="003A7A59">
              <w:rPr>
                <w:rFonts w:ascii="Calibri" w:hAnsi="Calibri"/>
                <w:color w:val="000000" w:themeColor="text1"/>
                <w:szCs w:val="20"/>
                <w:lang w:val="ro-RO"/>
              </w:rPr>
              <w:t>TA support for other beneficiaries in transport sector are to be provided through:</w:t>
            </w:r>
          </w:p>
        </w:tc>
        <w:tc>
          <w:tcPr>
            <w:tcW w:w="1440" w:type="dxa"/>
            <w:tcBorders>
              <w:top w:val="single" w:sz="4" w:space="0" w:color="auto"/>
              <w:bottom w:val="single" w:sz="4" w:space="0" w:color="auto"/>
            </w:tcBorders>
          </w:tcPr>
          <w:p w:rsidR="006A684F" w:rsidRPr="003A7A59" w:rsidRDefault="006A684F" w:rsidP="00CB4F3F">
            <w:pPr>
              <w:autoSpaceDE w:val="0"/>
              <w:autoSpaceDN w:val="0"/>
              <w:adjustRightInd w:val="0"/>
              <w:spacing w:after="0" w:line="240" w:lineRule="auto"/>
              <w:jc w:val="center"/>
              <w:rPr>
                <w:rFonts w:ascii="Calibri" w:hAnsi="Calibri"/>
                <w:color w:val="000000" w:themeColor="text1"/>
                <w:szCs w:val="20"/>
                <w:lang w:val="ro-RO"/>
              </w:rPr>
            </w:pPr>
          </w:p>
        </w:tc>
        <w:tc>
          <w:tcPr>
            <w:tcW w:w="1276" w:type="dxa"/>
            <w:tcBorders>
              <w:top w:val="single" w:sz="4" w:space="0" w:color="auto"/>
              <w:bottom w:val="single" w:sz="4" w:space="0" w:color="auto"/>
            </w:tcBorders>
          </w:tcPr>
          <w:p w:rsidR="006A684F" w:rsidRP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187"/>
          <w:jc w:val="center"/>
        </w:trPr>
        <w:tc>
          <w:tcPr>
            <w:tcW w:w="2435" w:type="dxa"/>
            <w:vMerge/>
            <w:shd w:val="clear" w:color="auto" w:fill="auto"/>
            <w:textDirection w:val="btLr"/>
          </w:tcPr>
          <w:p w:rsidR="006A684F" w:rsidRPr="00C768C5"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tcBorders>
              <w:top w:val="single" w:sz="4" w:space="0" w:color="auto"/>
            </w:tcBorders>
            <w:shd w:val="clear" w:color="auto" w:fill="auto"/>
          </w:tcPr>
          <w:p w:rsidR="006A684F" w:rsidRDefault="006A684F" w:rsidP="00682FFE">
            <w:pPr>
              <w:pStyle w:val="ListParagraph"/>
              <w:numPr>
                <w:ilvl w:val="0"/>
                <w:numId w:val="13"/>
              </w:numPr>
              <w:autoSpaceDE w:val="0"/>
              <w:autoSpaceDN w:val="0"/>
              <w:adjustRightInd w:val="0"/>
              <w:spacing w:after="120" w:line="240" w:lineRule="auto"/>
              <w:contextualSpacing w:val="0"/>
              <w:jc w:val="both"/>
              <w:rPr>
                <w:rFonts w:ascii="Calibri" w:hAnsi="Calibri"/>
                <w:color w:val="000000"/>
                <w:szCs w:val="20"/>
                <w:lang w:val="ro-RO"/>
              </w:rPr>
            </w:pPr>
            <w:r>
              <w:rPr>
                <w:rFonts w:ascii="Calibri" w:hAnsi="Calibri"/>
                <w:color w:val="000000"/>
                <w:szCs w:val="20"/>
                <w:lang w:val="ro-RO"/>
              </w:rPr>
              <w:t>Individual support at the level of each project as support for project and contract management</w:t>
            </w:r>
          </w:p>
        </w:tc>
        <w:tc>
          <w:tcPr>
            <w:tcW w:w="1440" w:type="dxa"/>
            <w:tcBorders>
              <w:top w:val="single" w:sz="4" w:space="0" w:color="auto"/>
            </w:tcBorders>
          </w:tcPr>
          <w:p w:rsidR="006A684F" w:rsidRPr="006750C3" w:rsidRDefault="006A684F" w:rsidP="0040322B">
            <w:pPr>
              <w:autoSpaceDE w:val="0"/>
              <w:autoSpaceDN w:val="0"/>
              <w:adjustRightInd w:val="0"/>
              <w:spacing w:after="0" w:line="240" w:lineRule="auto"/>
              <w:ind w:right="-85"/>
              <w:jc w:val="center"/>
              <w:rPr>
                <w:rFonts w:ascii="Calibri" w:hAnsi="Calibri"/>
                <w:color w:val="000000"/>
                <w:szCs w:val="20"/>
                <w:lang w:val="ro-RO"/>
              </w:rPr>
            </w:pPr>
            <w:r>
              <w:rPr>
                <w:rFonts w:ascii="Calibri" w:hAnsi="Calibri"/>
                <w:color w:val="000000"/>
                <w:szCs w:val="20"/>
                <w:lang w:val="ro-RO"/>
              </w:rPr>
              <w:t>During project implementation</w:t>
            </w:r>
          </w:p>
        </w:tc>
        <w:tc>
          <w:tcPr>
            <w:tcW w:w="1276" w:type="dxa"/>
            <w:tcBorders>
              <w:top w:val="single" w:sz="4" w:space="0" w:color="auto"/>
            </w:tcBorders>
          </w:tcPr>
          <w:p w:rsidR="006A684F" w:rsidRPr="006A684F" w:rsidRDefault="006A684F" w:rsidP="006750C3">
            <w:pPr>
              <w:autoSpaceDE w:val="0"/>
              <w:autoSpaceDN w:val="0"/>
              <w:adjustRightInd w:val="0"/>
              <w:spacing w:after="0" w:line="240" w:lineRule="auto"/>
              <w:jc w:val="center"/>
              <w:rPr>
                <w:rFonts w:ascii="Calibri" w:hAnsi="Calibri"/>
                <w:color w:val="000000"/>
                <w:szCs w:val="20"/>
                <w:lang w:val="ro-RO"/>
              </w:rPr>
            </w:pPr>
            <w:r w:rsidRPr="006A684F">
              <w:rPr>
                <w:rFonts w:ascii="Calibri" w:hAnsi="Calibri"/>
                <w:color w:val="000000"/>
                <w:szCs w:val="20"/>
                <w:lang w:val="ro-RO"/>
              </w:rPr>
              <w:t>MoEF / BF</w:t>
            </w:r>
          </w:p>
        </w:tc>
      </w:tr>
      <w:tr w:rsidR="006A684F" w:rsidRPr="00C768C5" w:rsidTr="0040322B">
        <w:trPr>
          <w:cantSplit/>
          <w:trHeight w:val="70"/>
          <w:jc w:val="center"/>
        </w:trPr>
        <w:tc>
          <w:tcPr>
            <w:tcW w:w="2435" w:type="dxa"/>
            <w:vMerge/>
            <w:shd w:val="clear" w:color="auto" w:fill="auto"/>
            <w:textDirection w:val="btLr"/>
          </w:tcPr>
          <w:p w:rsidR="006A684F" w:rsidRPr="00C768C5"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60731F" w:rsidRDefault="006A684F" w:rsidP="00636927">
            <w:pPr>
              <w:pStyle w:val="ListParagraph"/>
              <w:numPr>
                <w:ilvl w:val="0"/>
                <w:numId w:val="13"/>
              </w:numPr>
              <w:autoSpaceDE w:val="0"/>
              <w:autoSpaceDN w:val="0"/>
              <w:adjustRightInd w:val="0"/>
              <w:spacing w:after="120" w:line="240" w:lineRule="auto"/>
              <w:contextualSpacing w:val="0"/>
              <w:jc w:val="both"/>
              <w:rPr>
                <w:rFonts w:ascii="Calibri" w:hAnsi="Calibri"/>
                <w:color w:val="000000"/>
                <w:szCs w:val="20"/>
                <w:lang w:val="ro-RO"/>
              </w:rPr>
            </w:pPr>
            <w:r>
              <w:rPr>
                <w:rFonts w:ascii="Calibri" w:hAnsi="Calibri"/>
                <w:color w:val="000000"/>
                <w:szCs w:val="20"/>
                <w:lang w:val="ro-RO"/>
              </w:rPr>
              <w:t xml:space="preserve">TA available at the level of MEF, </w:t>
            </w:r>
            <w:r>
              <w:rPr>
                <w:rFonts w:asciiTheme="minorHAnsi" w:hAnsiTheme="minorHAnsi" w:cstheme="minorHAnsi"/>
                <w:iCs/>
                <w:szCs w:val="20"/>
              </w:rPr>
              <w:t>focusing on all the relevant aspects in relation with the project cycle management (preparing, tendering, implementing, technical and financial management, administrative burden</w:t>
            </w:r>
            <w:r w:rsidRPr="00AD7BD0">
              <w:rPr>
                <w:rFonts w:asciiTheme="minorHAnsi" w:hAnsiTheme="minorHAnsi" w:cstheme="minorHAnsi"/>
                <w:iCs/>
                <w:szCs w:val="20"/>
              </w:rPr>
              <w:t xml:space="preserve">, </w:t>
            </w:r>
            <w:r w:rsidRPr="004F6592">
              <w:rPr>
                <w:rFonts w:asciiTheme="minorHAnsi" w:hAnsiTheme="minorHAnsi" w:cstheme="minorHAnsi"/>
                <w:iCs/>
                <w:szCs w:val="20"/>
              </w:rPr>
              <w:t>etc.)</w:t>
            </w:r>
            <w:r>
              <w:rPr>
                <w:rFonts w:asciiTheme="minorHAnsi" w:hAnsiTheme="minorHAnsi" w:cstheme="minorHAnsi"/>
                <w:iCs/>
                <w:szCs w:val="20"/>
              </w:rPr>
              <w:t>, providing ad-hoc support to the beneficiaries for project development (including carrying out EIA procedure and identification of appropriate measures to mitigate the negative impact on environment)</w:t>
            </w:r>
          </w:p>
          <w:p w:rsidR="006A684F" w:rsidRPr="0060731F" w:rsidRDefault="006A684F" w:rsidP="0040322B">
            <w:pPr>
              <w:autoSpaceDE w:val="0"/>
              <w:autoSpaceDN w:val="0"/>
              <w:adjustRightInd w:val="0"/>
              <w:spacing w:after="120" w:line="240" w:lineRule="auto"/>
              <w:jc w:val="both"/>
              <w:rPr>
                <w:rFonts w:ascii="Calibri" w:hAnsi="Calibri"/>
                <w:color w:val="000000"/>
                <w:szCs w:val="20"/>
                <w:lang w:val="ro-RO"/>
              </w:rPr>
            </w:pPr>
          </w:p>
        </w:tc>
        <w:tc>
          <w:tcPr>
            <w:tcW w:w="1440" w:type="dxa"/>
          </w:tcPr>
          <w:p w:rsidR="006A684F" w:rsidRPr="006A684F" w:rsidRDefault="006A684F" w:rsidP="00CB4F3F">
            <w:pPr>
              <w:autoSpaceDE w:val="0"/>
              <w:autoSpaceDN w:val="0"/>
              <w:adjustRightInd w:val="0"/>
              <w:spacing w:after="0" w:line="240" w:lineRule="auto"/>
              <w:jc w:val="center"/>
              <w:rPr>
                <w:rFonts w:ascii="Calibri" w:hAnsi="Calibri"/>
                <w:b/>
                <w:color w:val="000000"/>
                <w:szCs w:val="20"/>
                <w:lang w:val="ro-RO"/>
              </w:rPr>
            </w:pPr>
            <w:r w:rsidRPr="006A684F">
              <w:rPr>
                <w:rFonts w:ascii="Calibri" w:hAnsi="Calibri"/>
                <w:b/>
                <w:color w:val="000000"/>
                <w:szCs w:val="20"/>
                <w:lang w:val="ro-RO"/>
              </w:rPr>
              <w:t>January 2016</w:t>
            </w:r>
          </w:p>
        </w:tc>
        <w:tc>
          <w:tcPr>
            <w:tcW w:w="1276" w:type="dxa"/>
          </w:tcPr>
          <w:p w:rsidR="006A684F" w:rsidRPr="006A684F" w:rsidRDefault="006A684F" w:rsidP="006750C3">
            <w:pPr>
              <w:autoSpaceDE w:val="0"/>
              <w:autoSpaceDN w:val="0"/>
              <w:adjustRightInd w:val="0"/>
              <w:spacing w:after="0" w:line="240" w:lineRule="auto"/>
              <w:jc w:val="center"/>
              <w:rPr>
                <w:rFonts w:ascii="Calibri" w:hAnsi="Calibri"/>
                <w:color w:val="000000"/>
                <w:szCs w:val="20"/>
                <w:lang w:val="ro-RO"/>
              </w:rPr>
            </w:pPr>
            <w:r w:rsidRPr="006A684F">
              <w:rPr>
                <w:rFonts w:ascii="Calibri" w:hAnsi="Calibri"/>
                <w:color w:val="000000"/>
                <w:szCs w:val="20"/>
                <w:lang w:val="ro-RO"/>
              </w:rPr>
              <w:t>MoEF</w:t>
            </w:r>
          </w:p>
        </w:tc>
      </w:tr>
      <w:tr w:rsidR="006A684F" w:rsidRPr="00C768C5" w:rsidTr="0040322B">
        <w:trPr>
          <w:cantSplit/>
          <w:trHeight w:val="70"/>
          <w:jc w:val="center"/>
        </w:trPr>
        <w:tc>
          <w:tcPr>
            <w:tcW w:w="2435" w:type="dxa"/>
            <w:vMerge/>
            <w:shd w:val="clear" w:color="auto" w:fill="auto"/>
            <w:textDirection w:val="btLr"/>
          </w:tcPr>
          <w:p w:rsidR="006A684F" w:rsidRPr="00C768C5"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A4259A" w:rsidRDefault="006A684F" w:rsidP="006A684F">
            <w:pPr>
              <w:autoSpaceDE w:val="0"/>
              <w:autoSpaceDN w:val="0"/>
              <w:adjustRightInd w:val="0"/>
              <w:spacing w:after="120" w:line="240" w:lineRule="auto"/>
              <w:jc w:val="both"/>
              <w:rPr>
                <w:rFonts w:ascii="Calibri" w:hAnsi="Calibri"/>
                <w:b/>
                <w:szCs w:val="20"/>
                <w:lang w:val="ro-RO"/>
              </w:rPr>
            </w:pPr>
            <w:r>
              <w:rPr>
                <w:rFonts w:ascii="Calibri" w:hAnsi="Calibri"/>
                <w:b/>
                <w:szCs w:val="20"/>
                <w:lang w:val="ro-RO"/>
              </w:rPr>
              <w:t>Signing the public service contract between MT and Metrorex</w:t>
            </w:r>
          </w:p>
        </w:tc>
        <w:tc>
          <w:tcPr>
            <w:tcW w:w="1440" w:type="dxa"/>
          </w:tcPr>
          <w:p w:rsidR="006A684F" w:rsidRPr="006A684F" w:rsidRDefault="006A684F" w:rsidP="00A13118">
            <w:pPr>
              <w:autoSpaceDE w:val="0"/>
              <w:autoSpaceDN w:val="0"/>
              <w:adjustRightInd w:val="0"/>
              <w:spacing w:after="0" w:line="240" w:lineRule="auto"/>
              <w:jc w:val="center"/>
              <w:rPr>
                <w:rFonts w:ascii="Calibri" w:hAnsi="Calibri"/>
                <w:b/>
                <w:szCs w:val="20"/>
                <w:lang w:val="ro-RO"/>
              </w:rPr>
            </w:pPr>
            <w:r w:rsidRPr="006A684F">
              <w:rPr>
                <w:rFonts w:ascii="Calibri" w:hAnsi="Calibri"/>
                <w:b/>
                <w:szCs w:val="20"/>
                <w:lang w:val="ro-RO"/>
              </w:rPr>
              <w:t>September 2015</w:t>
            </w:r>
          </w:p>
        </w:tc>
        <w:tc>
          <w:tcPr>
            <w:tcW w:w="1276" w:type="dxa"/>
          </w:tcPr>
          <w:p w:rsidR="006A684F" w:rsidRPr="006A684F" w:rsidRDefault="006A684F" w:rsidP="00A13118">
            <w:pPr>
              <w:autoSpaceDE w:val="0"/>
              <w:autoSpaceDN w:val="0"/>
              <w:adjustRightInd w:val="0"/>
              <w:spacing w:after="0" w:line="240" w:lineRule="auto"/>
              <w:jc w:val="center"/>
              <w:rPr>
                <w:rFonts w:ascii="Calibri" w:hAnsi="Calibri"/>
                <w:b/>
                <w:color w:val="000000"/>
                <w:szCs w:val="20"/>
                <w:lang w:val="ro-RO"/>
              </w:rPr>
            </w:pPr>
            <w:r w:rsidRPr="006A684F">
              <w:rPr>
                <w:rFonts w:ascii="Calibri" w:hAnsi="Calibri"/>
                <w:b/>
                <w:color w:val="000000"/>
                <w:szCs w:val="20"/>
                <w:lang w:val="ro-RO"/>
              </w:rPr>
              <w:t>MT</w:t>
            </w:r>
          </w:p>
        </w:tc>
      </w:tr>
      <w:tr w:rsidR="006A684F" w:rsidRPr="00C768C5" w:rsidTr="0040322B">
        <w:trPr>
          <w:cantSplit/>
          <w:trHeight w:val="70"/>
          <w:jc w:val="center"/>
        </w:trPr>
        <w:tc>
          <w:tcPr>
            <w:tcW w:w="2435" w:type="dxa"/>
            <w:vMerge w:val="restart"/>
            <w:shd w:val="clear" w:color="auto" w:fill="auto"/>
          </w:tcPr>
          <w:p w:rsidR="006A684F" w:rsidRPr="00C768C5" w:rsidRDefault="006A684F" w:rsidP="006750C3">
            <w:pPr>
              <w:autoSpaceDE w:val="0"/>
              <w:autoSpaceDN w:val="0"/>
              <w:adjustRightInd w:val="0"/>
              <w:spacing w:after="0" w:line="240" w:lineRule="auto"/>
              <w:jc w:val="both"/>
              <w:rPr>
                <w:rFonts w:ascii="Calibri" w:eastAsia="Calibri" w:hAnsi="Calibri"/>
                <w:i/>
                <w:iCs/>
                <w:szCs w:val="20"/>
                <w:lang w:val="ro-RO"/>
              </w:rPr>
            </w:pPr>
            <w:r>
              <w:rPr>
                <w:rFonts w:ascii="Calibri" w:eastAsia="Calibri" w:hAnsi="Calibri"/>
                <w:i/>
                <w:iCs/>
                <w:szCs w:val="20"/>
                <w:lang w:val="ro-RO"/>
              </w:rPr>
              <w:lastRenderedPageBreak/>
              <w:t>Horizontal measures available for all beneficiaries / type of investement in transport sector</w:t>
            </w:r>
          </w:p>
        </w:tc>
        <w:tc>
          <w:tcPr>
            <w:tcW w:w="9639" w:type="dxa"/>
            <w:shd w:val="clear" w:color="auto" w:fill="auto"/>
          </w:tcPr>
          <w:p w:rsidR="006A684F" w:rsidRPr="0040322B" w:rsidRDefault="006A684F" w:rsidP="0040322B">
            <w:pPr>
              <w:autoSpaceDE w:val="0"/>
              <w:autoSpaceDN w:val="0"/>
              <w:adjustRightInd w:val="0"/>
              <w:spacing w:after="120" w:line="240" w:lineRule="auto"/>
              <w:jc w:val="both"/>
              <w:rPr>
                <w:rFonts w:ascii="Calibri" w:hAnsi="Calibri"/>
                <w:color w:val="000000"/>
                <w:szCs w:val="20"/>
                <w:lang w:val="ro-RO"/>
              </w:rPr>
            </w:pPr>
            <w:r w:rsidRPr="003A7A59">
              <w:rPr>
                <w:rFonts w:ascii="Calibri" w:hAnsi="Calibri"/>
                <w:b/>
                <w:color w:val="000000" w:themeColor="text1"/>
                <w:szCs w:val="20"/>
                <w:lang w:val="ro-RO"/>
              </w:rPr>
              <w:t>Performance contracts</w:t>
            </w:r>
            <w:r>
              <w:rPr>
                <w:rFonts w:ascii="Calibri" w:hAnsi="Calibri"/>
                <w:b/>
                <w:color w:val="000000" w:themeColor="text1"/>
                <w:szCs w:val="20"/>
                <w:lang w:val="ro-RO"/>
              </w:rPr>
              <w:t>:</w:t>
            </w:r>
            <w:r w:rsidRPr="003A7A59">
              <w:rPr>
                <w:rFonts w:ascii="Calibri" w:hAnsi="Calibri"/>
                <w:color w:val="000000" w:themeColor="text1"/>
                <w:szCs w:val="20"/>
                <w:lang w:val="ro-RO"/>
              </w:rPr>
              <w:t xml:space="preserve"> Concluding multiannual performance management contracts between MoT and CNADNR</w:t>
            </w:r>
            <w:r>
              <w:rPr>
                <w:rFonts w:ascii="Calibri" w:hAnsi="Calibri"/>
                <w:color w:val="000000" w:themeColor="text1"/>
                <w:szCs w:val="20"/>
                <w:lang w:val="ro-RO"/>
              </w:rPr>
              <w:t xml:space="preserve"> and MoT and CN CFR</w:t>
            </w:r>
            <w:r w:rsidRPr="003A7A59">
              <w:rPr>
                <w:rFonts w:ascii="Calibri" w:hAnsi="Calibri"/>
                <w:color w:val="000000" w:themeColor="text1"/>
                <w:szCs w:val="20"/>
                <w:lang w:val="ro-RO"/>
              </w:rPr>
              <w:t xml:space="preserve"> setting out clear investments objectives, according to GTMP, indicators and maintenance obligations, based on an appropriate investment budget according to GTMP financial plan.</w:t>
            </w:r>
          </w:p>
        </w:tc>
        <w:tc>
          <w:tcPr>
            <w:tcW w:w="1440" w:type="dxa"/>
          </w:tcPr>
          <w:p w:rsidR="006A684F" w:rsidRDefault="006A684F" w:rsidP="00CB4F3F">
            <w:pPr>
              <w:autoSpaceDE w:val="0"/>
              <w:autoSpaceDN w:val="0"/>
              <w:adjustRightInd w:val="0"/>
              <w:spacing w:after="0" w:line="240" w:lineRule="auto"/>
              <w:jc w:val="center"/>
              <w:rPr>
                <w:rFonts w:ascii="Calibri" w:hAnsi="Calibri"/>
                <w:color w:val="000000"/>
                <w:szCs w:val="20"/>
                <w:lang w:val="ro-RO"/>
              </w:rPr>
            </w:pP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 xml:space="preserve">Drafting the legal act introducing the performance contracts </w:t>
            </w:r>
          </w:p>
        </w:tc>
        <w:tc>
          <w:tcPr>
            <w:tcW w:w="1440" w:type="dxa"/>
            <w:vAlign w:val="center"/>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May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Pr>
                <w:rFonts w:ascii="Calibri" w:hAnsi="Calibri"/>
                <w:color w:val="000000" w:themeColor="text1"/>
                <w:szCs w:val="20"/>
                <w:lang w:val="ro-RO"/>
              </w:rPr>
              <w:t>Adopting the legal act introducing the performance contract</w:t>
            </w:r>
          </w:p>
        </w:tc>
        <w:tc>
          <w:tcPr>
            <w:tcW w:w="1440" w:type="dxa"/>
            <w:vAlign w:val="center"/>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September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Pr>
                <w:rFonts w:ascii="Calibri" w:hAnsi="Calibri"/>
                <w:color w:val="000000" w:themeColor="text1"/>
                <w:szCs w:val="20"/>
                <w:lang w:val="ro-RO"/>
              </w:rPr>
              <w:t>Establishing the main performance indicators to be included in performance contracts</w:t>
            </w:r>
          </w:p>
        </w:tc>
        <w:tc>
          <w:tcPr>
            <w:tcW w:w="1440" w:type="dxa"/>
            <w:vAlign w:val="center"/>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July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Pr>
                <w:rFonts w:ascii="Calibri" w:hAnsi="Calibri"/>
                <w:color w:val="000000" w:themeColor="text1"/>
                <w:szCs w:val="20"/>
                <w:lang w:val="ro-RO"/>
              </w:rPr>
              <w:t>Drafting the methodology for monitoring for the performance indicators and contracts</w:t>
            </w:r>
          </w:p>
        </w:tc>
        <w:tc>
          <w:tcPr>
            <w:tcW w:w="1440" w:type="dxa"/>
            <w:vAlign w:val="center"/>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October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r w:rsidRPr="003A7A59">
              <w:rPr>
                <w:rFonts w:ascii="Calibri" w:hAnsi="Calibri"/>
                <w:color w:val="000000" w:themeColor="text1"/>
                <w:szCs w:val="20"/>
                <w:lang w:val="ro-RO"/>
              </w:rPr>
              <w:t xml:space="preserve">MoT </w:t>
            </w:r>
            <w:r>
              <w:rPr>
                <w:rFonts w:ascii="Calibri" w:hAnsi="Calibri"/>
                <w:color w:val="000000" w:themeColor="text1"/>
                <w:szCs w:val="20"/>
                <w:lang w:val="ro-RO"/>
              </w:rPr>
              <w:t xml:space="preserve">/ CNADNR / </w:t>
            </w:r>
            <w:r w:rsidRPr="003A7A59">
              <w:rPr>
                <w:rFonts w:ascii="Calibri" w:hAnsi="Calibri"/>
                <w:color w:val="000000" w:themeColor="text1"/>
                <w:szCs w:val="20"/>
                <w:lang w:val="ro-RO"/>
              </w:rPr>
              <w:t>CNCF</w:t>
            </w:r>
            <w:r w:rsidRPr="000A5E82">
              <w:rPr>
                <w:rFonts w:ascii="Calibri" w:hAnsi="Calibri"/>
                <w:szCs w:val="20"/>
                <w:lang w:val="ro-RO"/>
              </w:rPr>
              <w:t xml:space="preserve"> CFR SA</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Pr>
                <w:rFonts w:ascii="Calibri" w:hAnsi="Calibri"/>
                <w:color w:val="000000" w:themeColor="text1"/>
                <w:szCs w:val="20"/>
                <w:lang w:val="ro-RO"/>
              </w:rPr>
              <w:t>Drafting the performance contracts, based on the previous available drafts</w:t>
            </w:r>
          </w:p>
        </w:tc>
        <w:tc>
          <w:tcPr>
            <w:tcW w:w="1440" w:type="dxa"/>
            <w:vAlign w:val="center"/>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October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Negotiating the performance contract between MoT and CNADNR</w:t>
            </w:r>
            <w:r>
              <w:rPr>
                <w:rFonts w:ascii="Calibri" w:hAnsi="Calibri"/>
                <w:color w:val="000000" w:themeColor="text1"/>
                <w:szCs w:val="20"/>
                <w:lang w:val="ro-RO"/>
              </w:rPr>
              <w:t xml:space="preserve"> &amp; CNCFR</w:t>
            </w:r>
            <w:r w:rsidRPr="003A7A59">
              <w:rPr>
                <w:rFonts w:ascii="Calibri" w:hAnsi="Calibri"/>
                <w:color w:val="000000" w:themeColor="text1"/>
                <w:szCs w:val="20"/>
                <w:lang w:val="ro-RO"/>
              </w:rPr>
              <w:t>; the performance contracts will include also a monitoring system for achiving the milestones and indicators foreseen</w:t>
            </w:r>
          </w:p>
        </w:tc>
        <w:tc>
          <w:tcPr>
            <w:tcW w:w="1440" w:type="dxa"/>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October-December 2015</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EC28F7">
            <w:pPr>
              <w:pStyle w:val="ListParagraph"/>
              <w:numPr>
                <w:ilvl w:val="0"/>
                <w:numId w:val="23"/>
              </w:numPr>
              <w:autoSpaceDE w:val="0"/>
              <w:autoSpaceDN w:val="0"/>
              <w:adjustRightInd w:val="0"/>
              <w:spacing w:after="120" w:line="240" w:lineRule="auto"/>
              <w:jc w:val="both"/>
              <w:rPr>
                <w:rFonts w:ascii="Calibri" w:hAnsi="Calibri"/>
                <w:color w:val="000000" w:themeColor="text1"/>
                <w:szCs w:val="20"/>
                <w:lang w:val="ro-RO"/>
              </w:rPr>
            </w:pPr>
            <w:r>
              <w:rPr>
                <w:rFonts w:ascii="Calibri" w:hAnsi="Calibri"/>
                <w:color w:val="000000" w:themeColor="text1"/>
                <w:szCs w:val="20"/>
                <w:lang w:val="ro-RO"/>
              </w:rPr>
              <w:t>Signing the performance contracts with the main beneficiaries</w:t>
            </w:r>
          </w:p>
        </w:tc>
        <w:tc>
          <w:tcPr>
            <w:tcW w:w="1440" w:type="dxa"/>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r w:rsidRPr="003A7A59">
              <w:rPr>
                <w:rFonts w:ascii="Calibri" w:eastAsia="Calibri" w:hAnsi="Calibri"/>
                <w:color w:val="000000" w:themeColor="text1"/>
                <w:szCs w:val="20"/>
                <w:lang w:val="ro-RO"/>
              </w:rPr>
              <w:t>January – April 2016</w:t>
            </w: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226108" w:rsidRDefault="006A684F" w:rsidP="006650CE">
            <w:pPr>
              <w:autoSpaceDE w:val="0"/>
              <w:autoSpaceDN w:val="0"/>
              <w:adjustRightInd w:val="0"/>
              <w:spacing w:after="120" w:line="240" w:lineRule="auto"/>
              <w:jc w:val="both"/>
              <w:rPr>
                <w:rFonts w:ascii="Calibri" w:hAnsi="Calibri"/>
                <w:b/>
                <w:color w:val="000000"/>
                <w:szCs w:val="20"/>
                <w:lang w:val="ro-RO"/>
              </w:rPr>
            </w:pPr>
            <w:r w:rsidRPr="00226108">
              <w:rPr>
                <w:rFonts w:ascii="Calibri" w:hAnsi="Calibri"/>
                <w:b/>
                <w:color w:val="000000"/>
                <w:szCs w:val="20"/>
                <w:lang w:val="ro-RO"/>
              </w:rPr>
              <w:t>Project development support:</w:t>
            </w:r>
          </w:p>
        </w:tc>
        <w:tc>
          <w:tcPr>
            <w:tcW w:w="1440" w:type="dxa"/>
          </w:tcPr>
          <w:p w:rsidR="006A684F" w:rsidRPr="003A7A59" w:rsidRDefault="006A684F" w:rsidP="003B4C61">
            <w:pPr>
              <w:widowControl w:val="0"/>
              <w:spacing w:after="0" w:line="240" w:lineRule="auto"/>
              <w:jc w:val="center"/>
              <w:rPr>
                <w:rFonts w:ascii="Calibri" w:eastAsia="Calibri" w:hAnsi="Calibri"/>
                <w:color w:val="000000" w:themeColor="text1"/>
                <w:szCs w:val="20"/>
                <w:lang w:val="ro-RO"/>
              </w:rPr>
            </w:pPr>
          </w:p>
        </w:tc>
        <w:tc>
          <w:tcPr>
            <w:tcW w:w="1276" w:type="dxa"/>
          </w:tcPr>
          <w:p w:rsidR="006A684F" w:rsidRDefault="006A684F" w:rsidP="006750C3">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226108" w:rsidRDefault="006A684F" w:rsidP="006650CE">
            <w:pPr>
              <w:pStyle w:val="ListParagraph"/>
              <w:numPr>
                <w:ilvl w:val="0"/>
                <w:numId w:val="13"/>
              </w:numPr>
              <w:autoSpaceDE w:val="0"/>
              <w:autoSpaceDN w:val="0"/>
              <w:adjustRightInd w:val="0"/>
              <w:spacing w:after="120" w:line="240" w:lineRule="auto"/>
              <w:jc w:val="both"/>
              <w:rPr>
                <w:rFonts w:ascii="Calibri" w:hAnsi="Calibri"/>
                <w:color w:val="000000"/>
                <w:szCs w:val="20"/>
                <w:lang w:val="ro-RO"/>
              </w:rPr>
            </w:pPr>
            <w:r w:rsidRPr="00226108">
              <w:rPr>
                <w:rFonts w:ascii="Calibri" w:hAnsi="Calibri"/>
                <w:color w:val="000000"/>
                <w:szCs w:val="20"/>
                <w:lang w:val="ro-RO"/>
              </w:rPr>
              <w:t>Developing programming procedure</w:t>
            </w:r>
            <w:r>
              <w:rPr>
                <w:rFonts w:ascii="Calibri" w:hAnsi="Calibri"/>
                <w:color w:val="000000"/>
                <w:szCs w:val="20"/>
                <w:lang w:val="ro-RO"/>
              </w:rPr>
              <w:t xml:space="preserve"> at MA level</w:t>
            </w:r>
            <w:r w:rsidRPr="00226108">
              <w:rPr>
                <w:rFonts w:ascii="Calibri" w:hAnsi="Calibri"/>
                <w:color w:val="000000"/>
                <w:szCs w:val="20"/>
                <w:lang w:val="ro-RO"/>
              </w:rPr>
              <w:t xml:space="preserve"> ensuring permanent assistance to beneficiaries during project preparation</w:t>
            </w:r>
            <w:r>
              <w:rPr>
                <w:rFonts w:ascii="Calibri" w:hAnsi="Calibri"/>
                <w:color w:val="000000"/>
                <w:szCs w:val="20"/>
                <w:lang w:val="ro-RO"/>
              </w:rPr>
              <w:t xml:space="preserve"> and at beneficiary level</w:t>
            </w:r>
          </w:p>
        </w:tc>
        <w:tc>
          <w:tcPr>
            <w:tcW w:w="1440" w:type="dxa"/>
          </w:tcPr>
          <w:p w:rsidR="006A684F" w:rsidRPr="006750C3" w:rsidRDefault="006A684F" w:rsidP="00FF3E52">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October 2015</w:t>
            </w:r>
          </w:p>
        </w:tc>
        <w:tc>
          <w:tcPr>
            <w:tcW w:w="1276" w:type="dxa"/>
          </w:tcPr>
          <w:p w:rsidR="006A684F" w:rsidRDefault="006A684F" w:rsidP="00FF3E52">
            <w:pPr>
              <w:autoSpaceDE w:val="0"/>
              <w:autoSpaceDN w:val="0"/>
              <w:adjustRightInd w:val="0"/>
              <w:spacing w:after="0" w:line="240" w:lineRule="auto"/>
              <w:jc w:val="center"/>
              <w:rPr>
                <w:rFonts w:ascii="Calibri" w:hAnsi="Calibri"/>
                <w:szCs w:val="20"/>
                <w:lang w:val="ro-RO"/>
              </w:rPr>
            </w:pPr>
            <w:r>
              <w:rPr>
                <w:rFonts w:ascii="Calibri" w:hAnsi="Calibri"/>
                <w:szCs w:val="20"/>
                <w:lang w:val="ro-RO"/>
              </w:rPr>
              <w:t>MoEF</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226108" w:rsidRDefault="006A684F" w:rsidP="006650CE">
            <w:pPr>
              <w:pStyle w:val="ListParagraph"/>
              <w:numPr>
                <w:ilvl w:val="0"/>
                <w:numId w:val="13"/>
              </w:numPr>
              <w:autoSpaceDE w:val="0"/>
              <w:autoSpaceDN w:val="0"/>
              <w:adjustRightInd w:val="0"/>
              <w:spacing w:after="120" w:line="240" w:lineRule="auto"/>
              <w:jc w:val="both"/>
              <w:rPr>
                <w:rFonts w:ascii="Calibri" w:hAnsi="Calibri"/>
                <w:color w:val="000000"/>
                <w:szCs w:val="20"/>
                <w:lang w:val="ro-RO"/>
              </w:rPr>
            </w:pPr>
            <w:r w:rsidRPr="00226108">
              <w:rPr>
                <w:rFonts w:ascii="Calibri" w:hAnsi="Calibri"/>
                <w:color w:val="000000"/>
                <w:szCs w:val="20"/>
                <w:lang w:val="ro-RO"/>
              </w:rPr>
              <w:t>Providing ad-hoc and specific support, by request, thr</w:t>
            </w:r>
            <w:r>
              <w:rPr>
                <w:rFonts w:ascii="Calibri" w:hAnsi="Calibri"/>
                <w:color w:val="000000"/>
                <w:szCs w:val="20"/>
                <w:lang w:val="ro-RO"/>
              </w:rPr>
              <w:t>o</w:t>
            </w:r>
            <w:r w:rsidRPr="00226108">
              <w:rPr>
                <w:rFonts w:ascii="Calibri" w:hAnsi="Calibri"/>
                <w:color w:val="000000"/>
                <w:szCs w:val="20"/>
                <w:lang w:val="ro-RO"/>
              </w:rPr>
              <w:t>ugh the horizontal TA to b</w:t>
            </w:r>
            <w:r>
              <w:rPr>
                <w:rFonts w:ascii="Calibri" w:hAnsi="Calibri"/>
                <w:color w:val="000000"/>
                <w:szCs w:val="20"/>
                <w:lang w:val="ro-RO"/>
              </w:rPr>
              <w:t>e</w:t>
            </w:r>
            <w:r w:rsidRPr="00226108">
              <w:rPr>
                <w:rFonts w:ascii="Calibri" w:hAnsi="Calibri"/>
                <w:color w:val="000000"/>
                <w:szCs w:val="20"/>
                <w:lang w:val="ro-RO"/>
              </w:rPr>
              <w:t xml:space="preserve"> available at the level of </w:t>
            </w:r>
            <w:r>
              <w:rPr>
                <w:rFonts w:ascii="Calibri" w:hAnsi="Calibri"/>
                <w:color w:val="000000"/>
                <w:szCs w:val="20"/>
                <w:lang w:val="ro-RO"/>
              </w:rPr>
              <w:t>MEF</w:t>
            </w:r>
          </w:p>
        </w:tc>
        <w:tc>
          <w:tcPr>
            <w:tcW w:w="1440" w:type="dxa"/>
          </w:tcPr>
          <w:p w:rsidR="006A684F" w:rsidRDefault="006A684F" w:rsidP="00FF3E52">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January – December 2016</w:t>
            </w:r>
          </w:p>
        </w:tc>
        <w:tc>
          <w:tcPr>
            <w:tcW w:w="1276" w:type="dxa"/>
          </w:tcPr>
          <w:p w:rsidR="006A684F" w:rsidRDefault="006A684F" w:rsidP="00FF3E52">
            <w:pPr>
              <w:autoSpaceDE w:val="0"/>
              <w:autoSpaceDN w:val="0"/>
              <w:adjustRightInd w:val="0"/>
              <w:spacing w:after="0" w:line="240" w:lineRule="auto"/>
              <w:jc w:val="center"/>
              <w:rPr>
                <w:rFonts w:ascii="Calibri" w:hAnsi="Calibri"/>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CB4F3F" w:rsidRDefault="006A684F" w:rsidP="00A16C6C">
            <w:pPr>
              <w:autoSpaceDE w:val="0"/>
              <w:autoSpaceDN w:val="0"/>
              <w:adjustRightInd w:val="0"/>
              <w:spacing w:after="120" w:line="240" w:lineRule="auto"/>
              <w:jc w:val="both"/>
              <w:rPr>
                <w:rFonts w:ascii="Calibri" w:hAnsi="Calibri"/>
                <w:color w:val="000000"/>
                <w:szCs w:val="20"/>
                <w:lang w:val="ro-RO"/>
              </w:rPr>
            </w:pPr>
            <w:r w:rsidRPr="00226108">
              <w:rPr>
                <w:rFonts w:ascii="Calibri" w:hAnsi="Calibri"/>
                <w:b/>
                <w:color w:val="000000"/>
                <w:szCs w:val="20"/>
                <w:lang w:val="ro-RO"/>
              </w:rPr>
              <w:t>EIA procedures:</w:t>
            </w:r>
            <w:r>
              <w:rPr>
                <w:rFonts w:ascii="Calibri" w:hAnsi="Calibri"/>
                <w:color w:val="000000"/>
                <w:szCs w:val="20"/>
                <w:lang w:val="ro-RO"/>
              </w:rPr>
              <w:t xml:space="preserve"> </w:t>
            </w:r>
            <w:r w:rsidRPr="00CB4F3F">
              <w:rPr>
                <w:rFonts w:ascii="Calibri" w:hAnsi="Calibri"/>
                <w:color w:val="000000"/>
                <w:szCs w:val="20"/>
                <w:lang w:val="ro-RO"/>
              </w:rPr>
              <w:t>Appropriate training on procedures for implementing the environmental requirements is to be provided both for the main beneficiaries and for the Ministry of Transport</w:t>
            </w:r>
            <w:r>
              <w:rPr>
                <w:rFonts w:ascii="Calibri" w:hAnsi="Calibri"/>
                <w:color w:val="000000"/>
                <w:szCs w:val="20"/>
                <w:lang w:val="ro-RO"/>
              </w:rPr>
              <w:t>, based on existing guidelines</w:t>
            </w:r>
            <w:r w:rsidRPr="00CB4F3F">
              <w:rPr>
                <w:rFonts w:ascii="Calibri" w:hAnsi="Calibri"/>
                <w:color w:val="000000"/>
                <w:szCs w:val="20"/>
                <w:lang w:val="ro-RO"/>
              </w:rPr>
              <w:t>. The training sessions will be provided with JASPERS support, for specific issues related to the stakeholders needs</w:t>
            </w:r>
            <w:r>
              <w:rPr>
                <w:rFonts w:ascii="Calibri" w:hAnsi="Calibri"/>
                <w:color w:val="000000"/>
                <w:szCs w:val="20"/>
                <w:lang w:val="ro-RO"/>
              </w:rPr>
              <w:t>. Several session will be organised until November 2016</w:t>
            </w:r>
          </w:p>
        </w:tc>
        <w:tc>
          <w:tcPr>
            <w:tcW w:w="1440" w:type="dxa"/>
          </w:tcPr>
          <w:p w:rsidR="006A684F" w:rsidRDefault="006A684F" w:rsidP="00247F78">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November 2016</w:t>
            </w:r>
          </w:p>
        </w:tc>
        <w:tc>
          <w:tcPr>
            <w:tcW w:w="1276" w:type="dxa"/>
          </w:tcPr>
          <w:p w:rsidR="006A684F" w:rsidRDefault="006A684F" w:rsidP="00247F78">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MoEF</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CB4F3F" w:rsidRDefault="006A684F" w:rsidP="00A16C6C">
            <w:pPr>
              <w:autoSpaceDE w:val="0"/>
              <w:autoSpaceDN w:val="0"/>
              <w:adjustRightInd w:val="0"/>
              <w:spacing w:after="120" w:line="240" w:lineRule="auto"/>
              <w:jc w:val="both"/>
              <w:rPr>
                <w:rFonts w:ascii="Calibri" w:hAnsi="Calibri"/>
                <w:color w:val="000000"/>
                <w:szCs w:val="20"/>
                <w:lang w:val="ro-RO"/>
              </w:rPr>
            </w:pPr>
            <w:r w:rsidRPr="00F07F1F">
              <w:rPr>
                <w:rFonts w:ascii="Calibri" w:hAnsi="Calibri"/>
                <w:b/>
                <w:color w:val="000000"/>
                <w:szCs w:val="20"/>
                <w:lang w:val="ro-RO"/>
              </w:rPr>
              <w:t>Public procurement:</w:t>
            </w:r>
            <w:r>
              <w:rPr>
                <w:rFonts w:ascii="Calibri" w:hAnsi="Calibri"/>
                <w:color w:val="000000"/>
                <w:szCs w:val="20"/>
                <w:lang w:val="ro-RO"/>
              </w:rPr>
              <w:t xml:space="preserve"> </w:t>
            </w:r>
            <w:r w:rsidRPr="00CB4F3F">
              <w:rPr>
                <w:rFonts w:ascii="Calibri" w:hAnsi="Calibri"/>
                <w:color w:val="000000"/>
                <w:szCs w:val="20"/>
                <w:lang w:val="ro-RO"/>
              </w:rPr>
              <w:t>Developing a best practice guide with regard to the main steps to be followed during the evaluation process</w:t>
            </w:r>
            <w:r>
              <w:rPr>
                <w:rFonts w:ascii="Calibri" w:hAnsi="Calibri"/>
                <w:color w:val="000000"/>
                <w:szCs w:val="20"/>
                <w:lang w:val="ro-RO"/>
              </w:rPr>
              <w:t xml:space="preserve"> of offers</w:t>
            </w:r>
            <w:r w:rsidRPr="00CB4F3F">
              <w:rPr>
                <w:rFonts w:ascii="Calibri" w:hAnsi="Calibri"/>
                <w:color w:val="000000"/>
                <w:szCs w:val="20"/>
                <w:lang w:val="ro-RO"/>
              </w:rPr>
              <w:t>, regardless of the funding and financing source &amp; appropriate training</w:t>
            </w:r>
          </w:p>
        </w:tc>
        <w:tc>
          <w:tcPr>
            <w:tcW w:w="1440" w:type="dxa"/>
          </w:tcPr>
          <w:p w:rsidR="006A684F" w:rsidRDefault="006A684F" w:rsidP="00247F78">
            <w:pPr>
              <w:autoSpaceDE w:val="0"/>
              <w:autoSpaceDN w:val="0"/>
              <w:adjustRightInd w:val="0"/>
              <w:spacing w:after="0" w:line="240" w:lineRule="auto"/>
              <w:jc w:val="center"/>
              <w:rPr>
                <w:rFonts w:ascii="Calibri" w:hAnsi="Calibri"/>
                <w:color w:val="000000"/>
                <w:szCs w:val="20"/>
                <w:lang w:val="ro-RO"/>
              </w:rPr>
            </w:pPr>
            <w:r w:rsidRPr="00226108">
              <w:rPr>
                <w:rFonts w:ascii="Calibri" w:hAnsi="Calibri"/>
                <w:color w:val="000000"/>
                <w:szCs w:val="20"/>
                <w:lang w:val="ro-RO"/>
              </w:rPr>
              <w:t>June 2016</w:t>
            </w:r>
          </w:p>
        </w:tc>
        <w:tc>
          <w:tcPr>
            <w:tcW w:w="1276" w:type="dxa"/>
          </w:tcPr>
          <w:p w:rsidR="006A684F" w:rsidRDefault="006A684F" w:rsidP="00247F78">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ANRMAP/</w:t>
            </w:r>
          </w:p>
          <w:p w:rsidR="006A684F" w:rsidRDefault="006A684F" w:rsidP="00247F78">
            <w:pPr>
              <w:autoSpaceDE w:val="0"/>
              <w:autoSpaceDN w:val="0"/>
              <w:adjustRightInd w:val="0"/>
              <w:spacing w:after="0" w:line="240" w:lineRule="auto"/>
              <w:jc w:val="center"/>
              <w:rPr>
                <w:rFonts w:ascii="Calibri" w:hAnsi="Calibri"/>
                <w:color w:val="000000"/>
                <w:szCs w:val="20"/>
                <w:lang w:val="ro-RO"/>
              </w:rPr>
            </w:pPr>
            <w:r>
              <w:rPr>
                <w:rFonts w:ascii="Calibri" w:hAnsi="Calibri"/>
                <w:color w:val="000000"/>
                <w:szCs w:val="20"/>
                <w:lang w:val="ro-RO"/>
              </w:rPr>
              <w:t>MoEF</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Default="006A684F" w:rsidP="00A16C6C">
            <w:pPr>
              <w:autoSpaceDE w:val="0"/>
              <w:autoSpaceDN w:val="0"/>
              <w:adjustRightInd w:val="0"/>
              <w:spacing w:after="120" w:line="240" w:lineRule="auto"/>
              <w:jc w:val="both"/>
              <w:rPr>
                <w:rFonts w:ascii="Calibri" w:hAnsi="Calibri"/>
                <w:color w:val="000000"/>
                <w:szCs w:val="20"/>
                <w:lang w:val="ro-RO"/>
              </w:rPr>
            </w:pPr>
            <w:r w:rsidRPr="00226108">
              <w:rPr>
                <w:rFonts w:ascii="Calibri" w:hAnsi="Calibri"/>
                <w:b/>
                <w:color w:val="000000"/>
                <w:szCs w:val="20"/>
                <w:lang w:val="ro-RO"/>
              </w:rPr>
              <w:t>Horizontal training</w:t>
            </w:r>
            <w:r>
              <w:rPr>
                <w:rFonts w:ascii="Calibri" w:hAnsi="Calibri"/>
                <w:color w:val="000000"/>
                <w:szCs w:val="20"/>
                <w:lang w:val="ro-RO"/>
              </w:rPr>
              <w:t xml:space="preserve"> to be provided on specific subjects (public procurement, irregularities, conflict of interests, contract management etc.), based on a needs assessment</w:t>
            </w:r>
          </w:p>
        </w:tc>
        <w:tc>
          <w:tcPr>
            <w:tcW w:w="1440" w:type="dxa"/>
          </w:tcPr>
          <w:p w:rsidR="006A684F" w:rsidRPr="00226108" w:rsidRDefault="006A684F" w:rsidP="00247F78">
            <w:pPr>
              <w:autoSpaceDE w:val="0"/>
              <w:autoSpaceDN w:val="0"/>
              <w:adjustRightInd w:val="0"/>
              <w:spacing w:after="0" w:line="240" w:lineRule="auto"/>
              <w:jc w:val="both"/>
              <w:rPr>
                <w:rFonts w:ascii="Calibri" w:hAnsi="Calibri"/>
                <w:color w:val="000000"/>
                <w:szCs w:val="20"/>
                <w:lang w:val="ro-RO"/>
              </w:rPr>
            </w:pPr>
          </w:p>
        </w:tc>
        <w:tc>
          <w:tcPr>
            <w:tcW w:w="1276" w:type="dxa"/>
          </w:tcPr>
          <w:p w:rsidR="006A684F" w:rsidRDefault="006A684F" w:rsidP="00247F78">
            <w:pPr>
              <w:autoSpaceDE w:val="0"/>
              <w:autoSpaceDN w:val="0"/>
              <w:adjustRightInd w:val="0"/>
              <w:spacing w:after="0" w:line="240" w:lineRule="auto"/>
              <w:jc w:val="center"/>
              <w:rPr>
                <w:rFonts w:ascii="Calibri" w:hAnsi="Calibri"/>
                <w:color w:val="000000"/>
                <w:szCs w:val="20"/>
                <w:lang w:val="ro-RO"/>
              </w:rPr>
            </w:pP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A16C6C">
            <w:pPr>
              <w:pStyle w:val="ListParagraph"/>
              <w:numPr>
                <w:ilvl w:val="0"/>
                <w:numId w:val="13"/>
              </w:num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Needs assessment at horizontal level &amp; developing a training plan for transport beneficiaries</w:t>
            </w:r>
          </w:p>
        </w:tc>
        <w:tc>
          <w:tcPr>
            <w:tcW w:w="1440"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December 2015</w:t>
            </w:r>
          </w:p>
        </w:tc>
        <w:tc>
          <w:tcPr>
            <w:tcW w:w="1276"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MoEF</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vAlign w:val="center"/>
          </w:tcPr>
          <w:p w:rsidR="006A684F" w:rsidRPr="003A7A59" w:rsidRDefault="006A684F" w:rsidP="00A16C6C">
            <w:pPr>
              <w:autoSpaceDE w:val="0"/>
              <w:autoSpaceDN w:val="0"/>
              <w:adjustRightInd w:val="0"/>
              <w:spacing w:after="120" w:line="240" w:lineRule="auto"/>
              <w:rPr>
                <w:rFonts w:ascii="Calibri" w:hAnsi="Calibri"/>
                <w:color w:val="000000" w:themeColor="text1"/>
                <w:szCs w:val="20"/>
                <w:lang w:val="ro-RO"/>
              </w:rPr>
            </w:pPr>
            <w:r w:rsidRPr="003A7A59">
              <w:rPr>
                <w:rFonts w:ascii="Calibri" w:hAnsi="Calibri"/>
                <w:color w:val="000000" w:themeColor="text1"/>
                <w:szCs w:val="20"/>
                <w:lang w:val="ro-RO"/>
              </w:rPr>
              <w:t>Developing a monitoring system for result indicator at GTMP level</w:t>
            </w:r>
          </w:p>
        </w:tc>
        <w:tc>
          <w:tcPr>
            <w:tcW w:w="1440"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December 2015</w:t>
            </w:r>
          </w:p>
        </w:tc>
        <w:tc>
          <w:tcPr>
            <w:tcW w:w="1276"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MoT</w:t>
            </w:r>
          </w:p>
        </w:tc>
      </w:tr>
      <w:tr w:rsidR="006A684F" w:rsidRPr="00C768C5" w:rsidTr="0040322B">
        <w:trPr>
          <w:cantSplit/>
          <w:trHeight w:val="70"/>
          <w:jc w:val="center"/>
        </w:trPr>
        <w:tc>
          <w:tcPr>
            <w:tcW w:w="2435" w:type="dxa"/>
            <w:vMerge/>
            <w:shd w:val="clear" w:color="auto" w:fill="auto"/>
          </w:tcPr>
          <w:p w:rsidR="006A684F"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A16C6C">
            <w:p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 xml:space="preserve">Maintainance and use of National Transport Model </w:t>
            </w:r>
            <w:r>
              <w:rPr>
                <w:rFonts w:ascii="Calibri" w:hAnsi="Calibri"/>
                <w:color w:val="000000" w:themeColor="text1"/>
                <w:szCs w:val="20"/>
                <w:lang w:val="ro-RO"/>
              </w:rPr>
              <w:t>for project prioritisations, through administrative capacity support</w:t>
            </w:r>
            <w:r w:rsidRPr="003A7A59">
              <w:rPr>
                <w:rFonts w:ascii="Calibri" w:hAnsi="Calibri"/>
                <w:color w:val="000000" w:themeColor="text1"/>
                <w:szCs w:val="20"/>
                <w:lang w:val="ro-RO"/>
              </w:rPr>
              <w:t xml:space="preserve"> </w:t>
            </w:r>
          </w:p>
        </w:tc>
        <w:tc>
          <w:tcPr>
            <w:tcW w:w="1440"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December 2016</w:t>
            </w:r>
          </w:p>
        </w:tc>
        <w:tc>
          <w:tcPr>
            <w:tcW w:w="1276" w:type="dxa"/>
          </w:tcPr>
          <w:p w:rsidR="006A684F" w:rsidRPr="003A7A59" w:rsidRDefault="006A684F" w:rsidP="00247F78">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MoT</w:t>
            </w:r>
          </w:p>
        </w:tc>
      </w:tr>
      <w:tr w:rsidR="006A684F" w:rsidRPr="00C768C5" w:rsidTr="0040322B">
        <w:trPr>
          <w:cantSplit/>
          <w:trHeight w:val="498"/>
          <w:jc w:val="center"/>
        </w:trPr>
        <w:tc>
          <w:tcPr>
            <w:tcW w:w="2435" w:type="dxa"/>
            <w:vMerge/>
            <w:shd w:val="clear" w:color="auto" w:fill="auto"/>
            <w:textDirection w:val="btLr"/>
          </w:tcPr>
          <w:p w:rsidR="006A684F" w:rsidRPr="00C768C5" w:rsidRDefault="006A684F" w:rsidP="006750C3">
            <w:pPr>
              <w:autoSpaceDE w:val="0"/>
              <w:autoSpaceDN w:val="0"/>
              <w:adjustRightInd w:val="0"/>
              <w:spacing w:after="0" w:line="240" w:lineRule="auto"/>
              <w:jc w:val="both"/>
              <w:rPr>
                <w:rFonts w:ascii="Calibri" w:eastAsia="Calibri" w:hAnsi="Calibri"/>
                <w:i/>
                <w:iCs/>
                <w:szCs w:val="20"/>
                <w:lang w:val="ro-RO"/>
              </w:rPr>
            </w:pPr>
          </w:p>
        </w:tc>
        <w:tc>
          <w:tcPr>
            <w:tcW w:w="9639" w:type="dxa"/>
            <w:shd w:val="clear" w:color="auto" w:fill="auto"/>
          </w:tcPr>
          <w:p w:rsidR="006A684F" w:rsidRPr="003A7A59" w:rsidRDefault="006A684F" w:rsidP="00682FFE">
            <w:pPr>
              <w:autoSpaceDE w:val="0"/>
              <w:autoSpaceDN w:val="0"/>
              <w:adjustRightInd w:val="0"/>
              <w:spacing w:after="120" w:line="240" w:lineRule="auto"/>
              <w:jc w:val="both"/>
              <w:rPr>
                <w:rFonts w:ascii="Calibri" w:hAnsi="Calibri"/>
                <w:color w:val="000000" w:themeColor="text1"/>
                <w:szCs w:val="20"/>
                <w:lang w:val="ro-RO"/>
              </w:rPr>
            </w:pPr>
            <w:r>
              <w:rPr>
                <w:rFonts w:ascii="Calibri" w:hAnsi="Calibri"/>
                <w:b/>
                <w:color w:val="000000" w:themeColor="text1"/>
                <w:szCs w:val="20"/>
                <w:lang w:val="ro-RO"/>
              </w:rPr>
              <w:t xml:space="preserve">Monitoring: </w:t>
            </w:r>
            <w:r w:rsidRPr="003A7A59">
              <w:rPr>
                <w:rFonts w:ascii="Calibri" w:hAnsi="Calibri"/>
                <w:color w:val="000000" w:themeColor="text1"/>
                <w:szCs w:val="20"/>
                <w:lang w:val="ro-RO"/>
              </w:rPr>
              <w:t xml:space="preserve">Developing  an IT monitoring tool to be used by LIOP, in order to replace the printed version of the reports ensuring also the existence of a database that can be used for monitoring purposes. </w:t>
            </w:r>
          </w:p>
          <w:p w:rsidR="006A684F" w:rsidRPr="003A7A59" w:rsidRDefault="006A684F" w:rsidP="00682FFE">
            <w:pPr>
              <w:autoSpaceDE w:val="0"/>
              <w:autoSpaceDN w:val="0"/>
              <w:adjustRightInd w:val="0"/>
              <w:spacing w:after="120" w:line="240" w:lineRule="auto"/>
              <w:jc w:val="both"/>
              <w:rPr>
                <w:rFonts w:ascii="Calibri" w:hAnsi="Calibri"/>
                <w:color w:val="000000" w:themeColor="text1"/>
                <w:szCs w:val="20"/>
                <w:lang w:val="ro-RO"/>
              </w:rPr>
            </w:pPr>
            <w:r w:rsidRPr="003A7A59">
              <w:rPr>
                <w:rFonts w:ascii="Calibri" w:hAnsi="Calibri"/>
                <w:color w:val="000000" w:themeColor="text1"/>
                <w:szCs w:val="20"/>
                <w:lang w:val="ro-RO"/>
              </w:rPr>
              <w:t>This tool is based on a web application to be completed monthly by the project beneficiaries on project data and contracts under the project, including progress in tendering and contracting process, progress of work (physical and financial), comparing actual progress with initial plans</w:t>
            </w:r>
            <w:r>
              <w:rPr>
                <w:rFonts w:ascii="Calibri" w:hAnsi="Calibri"/>
                <w:color w:val="000000" w:themeColor="text1"/>
                <w:szCs w:val="20"/>
                <w:lang w:val="ro-RO"/>
              </w:rPr>
              <w:t>,</w:t>
            </w:r>
            <w:r w:rsidRPr="003A7A59">
              <w:rPr>
                <w:rFonts w:ascii="Calibri" w:hAnsi="Calibri"/>
                <w:color w:val="000000" w:themeColor="text1"/>
                <w:szCs w:val="20"/>
                <w:lang w:val="ro-RO"/>
              </w:rPr>
              <w:t xml:space="preserve"> data on claims, invoices, financial corrections, difficulties encountered, indicators, etc. The possibility of extending this tool to all t</w:t>
            </w:r>
            <w:r>
              <w:rPr>
                <w:rFonts w:ascii="Calibri" w:hAnsi="Calibri"/>
                <w:color w:val="000000" w:themeColor="text1"/>
                <w:szCs w:val="20"/>
                <w:lang w:val="ro-RO"/>
              </w:rPr>
              <w:t>ypes of projects funded by POIM it is envisaged</w:t>
            </w:r>
          </w:p>
        </w:tc>
        <w:tc>
          <w:tcPr>
            <w:tcW w:w="1440" w:type="dxa"/>
          </w:tcPr>
          <w:p w:rsidR="006A684F" w:rsidRPr="003A7A59" w:rsidRDefault="006A684F" w:rsidP="00682FFE">
            <w:pPr>
              <w:autoSpaceDE w:val="0"/>
              <w:autoSpaceDN w:val="0"/>
              <w:adjustRightInd w:val="0"/>
              <w:spacing w:after="0" w:line="240" w:lineRule="auto"/>
              <w:jc w:val="center"/>
              <w:rPr>
                <w:rFonts w:ascii="Calibri" w:hAnsi="Calibri"/>
                <w:color w:val="000000" w:themeColor="text1"/>
                <w:szCs w:val="20"/>
                <w:lang w:val="ro-RO"/>
              </w:rPr>
            </w:pPr>
            <w:r>
              <w:rPr>
                <w:rFonts w:ascii="Calibri" w:hAnsi="Calibri"/>
                <w:color w:val="000000" w:themeColor="text1"/>
                <w:szCs w:val="20"/>
                <w:lang w:val="ro-RO"/>
              </w:rPr>
              <w:t>October 2015</w:t>
            </w:r>
          </w:p>
        </w:tc>
        <w:tc>
          <w:tcPr>
            <w:tcW w:w="1276" w:type="dxa"/>
          </w:tcPr>
          <w:p w:rsidR="006A684F" w:rsidRPr="003A7A59" w:rsidRDefault="006A684F" w:rsidP="00682FFE">
            <w:pPr>
              <w:autoSpaceDE w:val="0"/>
              <w:autoSpaceDN w:val="0"/>
              <w:adjustRightInd w:val="0"/>
              <w:spacing w:after="0" w:line="240" w:lineRule="auto"/>
              <w:jc w:val="center"/>
              <w:rPr>
                <w:rFonts w:ascii="Calibri" w:hAnsi="Calibri"/>
                <w:color w:val="000000" w:themeColor="text1"/>
                <w:szCs w:val="20"/>
                <w:lang w:val="ro-RO"/>
              </w:rPr>
            </w:pPr>
            <w:r w:rsidRPr="003A7A59">
              <w:rPr>
                <w:rFonts w:ascii="Calibri" w:hAnsi="Calibri"/>
                <w:color w:val="000000" w:themeColor="text1"/>
                <w:szCs w:val="20"/>
                <w:lang w:val="ro-RO"/>
              </w:rPr>
              <w:t>MoEF</w:t>
            </w:r>
          </w:p>
        </w:tc>
      </w:tr>
    </w:tbl>
    <w:p w:rsidR="005C71B0" w:rsidRDefault="005C71B0">
      <w:pPr>
        <w:rPr>
          <w:szCs w:val="20"/>
        </w:rPr>
      </w:pPr>
    </w:p>
    <w:p w:rsidR="00226108" w:rsidRDefault="00226108">
      <w:pPr>
        <w:rPr>
          <w:szCs w:val="20"/>
        </w:rPr>
      </w:pPr>
    </w:p>
    <w:p w:rsidR="00226108" w:rsidRDefault="00226108">
      <w:pPr>
        <w:rPr>
          <w:szCs w:val="20"/>
        </w:rPr>
        <w:sectPr w:rsidR="00226108" w:rsidSect="007D0740">
          <w:footerReference w:type="default" r:id="rId13"/>
          <w:pgSz w:w="16838" w:h="11906" w:orient="landscape"/>
          <w:pgMar w:top="851" w:right="962" w:bottom="284" w:left="851" w:header="709" w:footer="709" w:gutter="0"/>
          <w:cols w:space="708"/>
          <w:docGrid w:linePitch="360"/>
        </w:sectPr>
      </w:pPr>
    </w:p>
    <w:p w:rsidR="00121957" w:rsidRDefault="00121957" w:rsidP="00121957">
      <w:pPr>
        <w:autoSpaceDE w:val="0"/>
        <w:autoSpaceDN w:val="0"/>
        <w:adjustRightInd w:val="0"/>
        <w:jc w:val="center"/>
        <w:rPr>
          <w:rFonts w:asciiTheme="minorHAnsi" w:hAnsiTheme="minorHAnsi" w:cstheme="minorHAnsi"/>
          <w:b/>
          <w:iCs/>
          <w:sz w:val="24"/>
          <w:szCs w:val="24"/>
        </w:rPr>
      </w:pPr>
      <w:r w:rsidRPr="005610DC">
        <w:rPr>
          <w:rFonts w:asciiTheme="minorHAnsi" w:hAnsiTheme="minorHAnsi" w:cstheme="minorHAnsi"/>
          <w:b/>
          <w:iCs/>
          <w:sz w:val="24"/>
          <w:szCs w:val="24"/>
        </w:rPr>
        <w:lastRenderedPageBreak/>
        <w:t>METHODOLOGY and FURTHER EXPLANATIONS</w:t>
      </w:r>
    </w:p>
    <w:p w:rsidR="005610DC" w:rsidRPr="005610DC" w:rsidRDefault="005610DC" w:rsidP="00121957">
      <w:pPr>
        <w:autoSpaceDE w:val="0"/>
        <w:autoSpaceDN w:val="0"/>
        <w:adjustRightInd w:val="0"/>
        <w:jc w:val="center"/>
        <w:rPr>
          <w:rFonts w:asciiTheme="minorHAnsi" w:hAnsiTheme="minorHAnsi" w:cstheme="minorHAnsi"/>
          <w:b/>
          <w:iCs/>
          <w:sz w:val="24"/>
          <w:szCs w:val="24"/>
        </w:rPr>
      </w:pPr>
    </w:p>
    <w:p w:rsidR="00226108" w:rsidRPr="005610DC" w:rsidRDefault="00822867" w:rsidP="00226108">
      <w:pPr>
        <w:autoSpaceDE w:val="0"/>
        <w:autoSpaceDN w:val="0"/>
        <w:adjustRightInd w:val="0"/>
        <w:jc w:val="both"/>
        <w:rPr>
          <w:rFonts w:asciiTheme="minorHAnsi" w:hAnsiTheme="minorHAnsi" w:cstheme="minorHAnsi"/>
          <w:iCs/>
          <w:sz w:val="24"/>
          <w:szCs w:val="24"/>
        </w:rPr>
      </w:pPr>
      <w:r>
        <w:rPr>
          <w:rFonts w:asciiTheme="minorHAnsi" w:hAnsiTheme="minorHAnsi" w:cstheme="minorHAnsi"/>
          <w:iCs/>
          <w:sz w:val="24"/>
          <w:szCs w:val="24"/>
        </w:rPr>
        <w:t>In transport sector, for</w:t>
      </w:r>
      <w:r w:rsidR="00226108" w:rsidRPr="005610DC">
        <w:rPr>
          <w:rFonts w:asciiTheme="minorHAnsi" w:hAnsiTheme="minorHAnsi" w:cstheme="minorHAnsi"/>
          <w:iCs/>
          <w:sz w:val="24"/>
          <w:szCs w:val="24"/>
        </w:rPr>
        <w:t xml:space="preserve"> the preparation and implementation of the projects the same stakeholders involved in the implementation of the 2007-2013 financial framework will be involved also in the programming exercise 2014-2020, the results and recommendations of the SOP T Interim Evaluation Report (issued on May 2014) regarding the administrative capacity are to be up-dated with support from EIB experts contracted by Ministry of European Funds under </w:t>
      </w:r>
      <w:r w:rsidR="00226108" w:rsidRPr="005610DC">
        <w:rPr>
          <w:rFonts w:asciiTheme="minorHAnsi" w:hAnsiTheme="minorHAnsi" w:cstheme="minorHAnsi"/>
          <w:i/>
          <w:iCs/>
          <w:sz w:val="24"/>
          <w:szCs w:val="24"/>
        </w:rPr>
        <w:t xml:space="preserve">Project Implementation Service Support </w:t>
      </w:r>
      <w:r w:rsidR="00121957" w:rsidRPr="005610DC">
        <w:rPr>
          <w:rFonts w:asciiTheme="minorHAnsi" w:hAnsiTheme="minorHAnsi" w:cstheme="minorHAnsi"/>
          <w:i/>
          <w:iCs/>
          <w:sz w:val="24"/>
          <w:szCs w:val="24"/>
        </w:rPr>
        <w:t>Assistance</w:t>
      </w:r>
      <w:r w:rsidR="00226108" w:rsidRPr="005610DC">
        <w:rPr>
          <w:rFonts w:asciiTheme="minorHAnsi" w:hAnsiTheme="minorHAnsi" w:cstheme="minorHAnsi"/>
          <w:i/>
          <w:iCs/>
          <w:sz w:val="24"/>
          <w:szCs w:val="24"/>
        </w:rPr>
        <w:t xml:space="preserve"> contract</w:t>
      </w:r>
      <w:r w:rsidR="00226108" w:rsidRPr="005610DC">
        <w:rPr>
          <w:rFonts w:asciiTheme="minorHAnsi" w:hAnsiTheme="minorHAnsi" w:cstheme="minorHAnsi"/>
          <w:iCs/>
          <w:sz w:val="24"/>
          <w:szCs w:val="24"/>
        </w:rPr>
        <w:t xml:space="preserve">, focusing on all the relevant aspects in relation with the project cycle management (preparing, tendering, implementing, technical and financial management, administrative burden,  etc.). </w:t>
      </w:r>
    </w:p>
    <w:p w:rsidR="00226108" w:rsidRPr="006319E6" w:rsidRDefault="00226108" w:rsidP="00121957">
      <w:pPr>
        <w:jc w:val="both"/>
        <w:rPr>
          <w:rFonts w:asciiTheme="minorHAnsi" w:hAnsiTheme="minorHAnsi" w:cstheme="minorHAnsi"/>
          <w:iCs/>
          <w:color w:val="000000" w:themeColor="text1"/>
          <w:sz w:val="24"/>
          <w:szCs w:val="24"/>
        </w:rPr>
      </w:pPr>
      <w:r w:rsidRPr="005610DC">
        <w:rPr>
          <w:rFonts w:asciiTheme="minorHAnsi" w:hAnsiTheme="minorHAnsi" w:cstheme="minorHAnsi"/>
          <w:iCs/>
          <w:sz w:val="24"/>
          <w:szCs w:val="24"/>
        </w:rPr>
        <w:t xml:space="preserve">Based on the outcomes of this </w:t>
      </w:r>
      <w:r w:rsidRPr="006319E6">
        <w:rPr>
          <w:rFonts w:asciiTheme="minorHAnsi" w:hAnsiTheme="minorHAnsi" w:cstheme="minorHAnsi"/>
          <w:iCs/>
          <w:color w:val="000000" w:themeColor="text1"/>
          <w:sz w:val="24"/>
          <w:szCs w:val="24"/>
        </w:rPr>
        <w:t xml:space="preserve">analysis a set of measures will be proposed in order to proper </w:t>
      </w:r>
      <w:r w:rsidR="00121957" w:rsidRPr="006319E6">
        <w:rPr>
          <w:rFonts w:asciiTheme="minorHAnsi" w:hAnsiTheme="minorHAnsi" w:cstheme="minorHAnsi"/>
          <w:iCs/>
          <w:color w:val="000000" w:themeColor="text1"/>
          <w:sz w:val="24"/>
          <w:szCs w:val="24"/>
        </w:rPr>
        <w:t>address</w:t>
      </w:r>
      <w:r w:rsidRPr="006319E6">
        <w:rPr>
          <w:rFonts w:asciiTheme="minorHAnsi" w:hAnsiTheme="minorHAnsi" w:cstheme="minorHAnsi"/>
          <w:iCs/>
          <w:color w:val="000000" w:themeColor="text1"/>
          <w:sz w:val="24"/>
          <w:szCs w:val="24"/>
        </w:rPr>
        <w:t xml:space="preserve"> the identified issues (e.g. check list included in the standardised documentation for the services contracts, set up of technical teams at the beneficiary level for </w:t>
      </w:r>
      <w:r w:rsidR="00121957" w:rsidRPr="006319E6">
        <w:rPr>
          <w:rFonts w:asciiTheme="minorHAnsi" w:hAnsiTheme="minorHAnsi" w:cstheme="minorHAnsi"/>
          <w:iCs/>
          <w:color w:val="000000" w:themeColor="text1"/>
          <w:sz w:val="24"/>
          <w:szCs w:val="24"/>
        </w:rPr>
        <w:t>assessment</w:t>
      </w:r>
      <w:r w:rsidRPr="006319E6">
        <w:rPr>
          <w:rFonts w:asciiTheme="minorHAnsi" w:hAnsiTheme="minorHAnsi" w:cstheme="minorHAnsi"/>
          <w:iCs/>
          <w:color w:val="000000" w:themeColor="text1"/>
          <w:sz w:val="24"/>
          <w:szCs w:val="24"/>
        </w:rPr>
        <w:t xml:space="preserve"> of the geo-topo studies, accountability of the legal representative of the beneficiary by signed declaration on the quality of the deliverables, standardized implementing manuals/procedures, routing slip, IT monitoring tool, facilitation in due time </w:t>
      </w:r>
      <w:r w:rsidR="00822867" w:rsidRPr="006319E6">
        <w:rPr>
          <w:rFonts w:asciiTheme="minorHAnsi" w:hAnsiTheme="minorHAnsi" w:cstheme="minorHAnsi"/>
          <w:iCs/>
          <w:color w:val="000000" w:themeColor="text1"/>
          <w:sz w:val="24"/>
          <w:szCs w:val="24"/>
        </w:rPr>
        <w:t xml:space="preserve">of </w:t>
      </w:r>
      <w:r w:rsidRPr="006319E6">
        <w:rPr>
          <w:rFonts w:asciiTheme="minorHAnsi" w:hAnsiTheme="minorHAnsi" w:cstheme="minorHAnsi"/>
          <w:iCs/>
          <w:color w:val="000000" w:themeColor="text1"/>
          <w:sz w:val="24"/>
          <w:szCs w:val="24"/>
        </w:rPr>
        <w:t>management decision taking-accountability only on institutional level and not on personal level, training and technical assistance, etc.).</w:t>
      </w:r>
    </w:p>
    <w:p w:rsidR="00822867" w:rsidRPr="006319E6" w:rsidRDefault="00822867" w:rsidP="00121957">
      <w:p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The main difficulties</w:t>
      </w:r>
      <w:r w:rsidR="00B62423" w:rsidRPr="006319E6">
        <w:rPr>
          <w:rFonts w:asciiTheme="minorHAnsi" w:hAnsiTheme="minorHAnsi" w:cstheme="minorHAnsi"/>
          <w:iCs/>
          <w:color w:val="000000" w:themeColor="text1"/>
          <w:sz w:val="24"/>
          <w:szCs w:val="24"/>
        </w:rPr>
        <w:t xml:space="preserve"> </w:t>
      </w:r>
      <w:r w:rsidRPr="006319E6">
        <w:rPr>
          <w:rFonts w:asciiTheme="minorHAnsi" w:hAnsiTheme="minorHAnsi" w:cstheme="minorHAnsi"/>
          <w:iCs/>
          <w:color w:val="000000" w:themeColor="text1"/>
          <w:sz w:val="24"/>
          <w:szCs w:val="24"/>
        </w:rPr>
        <w:t>encountered in the implementation of SOP Transport 2007-2013</w:t>
      </w:r>
      <w:r w:rsidR="00B62423" w:rsidRPr="006319E6">
        <w:rPr>
          <w:rFonts w:asciiTheme="minorHAnsi" w:hAnsiTheme="minorHAnsi" w:cstheme="minorHAnsi"/>
          <w:iCs/>
          <w:color w:val="000000" w:themeColor="text1"/>
          <w:sz w:val="24"/>
          <w:szCs w:val="24"/>
        </w:rPr>
        <w:t>,</w:t>
      </w:r>
      <w:r w:rsidRPr="006319E6">
        <w:rPr>
          <w:rFonts w:asciiTheme="minorHAnsi" w:hAnsiTheme="minorHAnsi" w:cstheme="minorHAnsi"/>
          <w:iCs/>
          <w:color w:val="000000" w:themeColor="text1"/>
          <w:sz w:val="24"/>
          <w:szCs w:val="24"/>
        </w:rPr>
        <w:t xml:space="preserve"> </w:t>
      </w:r>
      <w:r w:rsidR="00B62423" w:rsidRPr="006319E6">
        <w:rPr>
          <w:rFonts w:asciiTheme="minorHAnsi" w:hAnsiTheme="minorHAnsi" w:cstheme="minorHAnsi"/>
          <w:iCs/>
          <w:color w:val="000000" w:themeColor="text1"/>
          <w:sz w:val="24"/>
          <w:szCs w:val="24"/>
        </w:rPr>
        <w:t xml:space="preserve">but not exclusively </w:t>
      </w:r>
      <w:r w:rsidRPr="006319E6">
        <w:rPr>
          <w:rFonts w:asciiTheme="minorHAnsi" w:hAnsiTheme="minorHAnsi" w:cstheme="minorHAnsi"/>
          <w:iCs/>
          <w:color w:val="000000" w:themeColor="text1"/>
          <w:sz w:val="24"/>
          <w:szCs w:val="24"/>
        </w:rPr>
        <w:t>were:</w:t>
      </w:r>
    </w:p>
    <w:p w:rsidR="00822867" w:rsidRPr="006319E6" w:rsidRDefault="006F7561"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Low quality of feasibility studies annexed to financing applications with negative impact on approval process and pace of implementation</w:t>
      </w:r>
    </w:p>
    <w:p w:rsidR="006F7561" w:rsidRPr="006319E6" w:rsidRDefault="009D17E1"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Insufficient</w:t>
      </w:r>
      <w:r w:rsidR="00863B3D" w:rsidRPr="006319E6">
        <w:rPr>
          <w:rFonts w:asciiTheme="minorHAnsi" w:hAnsiTheme="minorHAnsi" w:cstheme="minorHAnsi"/>
          <w:iCs/>
          <w:color w:val="000000" w:themeColor="text1"/>
          <w:sz w:val="24"/>
          <w:szCs w:val="24"/>
        </w:rPr>
        <w:t xml:space="preserve"> staff, lack of skills and low commitment due to remuneration level impacting on managing TA contracts meant to develop projects</w:t>
      </w:r>
    </w:p>
    <w:p w:rsidR="00863B3D" w:rsidRPr="006319E6" w:rsidRDefault="00863B3D"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Faulty application of public procurement law, low quality of works and services procured</w:t>
      </w:r>
    </w:p>
    <w:p w:rsidR="00B62423" w:rsidRPr="006319E6" w:rsidRDefault="00B62423" w:rsidP="00B62423">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Different interpretation of FIDIC rules and national public procurement</w:t>
      </w:r>
    </w:p>
    <w:p w:rsidR="00863B3D" w:rsidRPr="006319E6" w:rsidRDefault="00863B3D"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Scarce cooperation of public authorities in obtaining </w:t>
      </w:r>
      <w:r w:rsidR="009C26A9" w:rsidRPr="006319E6">
        <w:rPr>
          <w:rFonts w:asciiTheme="minorHAnsi" w:hAnsiTheme="minorHAnsi" w:cstheme="minorHAnsi"/>
          <w:iCs/>
          <w:color w:val="000000" w:themeColor="text1"/>
          <w:sz w:val="24"/>
          <w:szCs w:val="24"/>
        </w:rPr>
        <w:t>relevant</w:t>
      </w:r>
      <w:r w:rsidRPr="006319E6">
        <w:rPr>
          <w:rFonts w:asciiTheme="minorHAnsi" w:hAnsiTheme="minorHAnsi" w:cstheme="minorHAnsi"/>
          <w:iCs/>
          <w:color w:val="000000" w:themeColor="text1"/>
          <w:sz w:val="24"/>
          <w:szCs w:val="24"/>
        </w:rPr>
        <w:t xml:space="preserve"> authorisation or information </w:t>
      </w:r>
    </w:p>
    <w:p w:rsidR="00863B3D" w:rsidRPr="006319E6" w:rsidRDefault="00863B3D"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Project monitoring arrangements</w:t>
      </w:r>
      <w:r w:rsidR="009C26A9" w:rsidRPr="006319E6">
        <w:rPr>
          <w:rFonts w:asciiTheme="minorHAnsi" w:hAnsiTheme="minorHAnsi" w:cstheme="minorHAnsi"/>
          <w:iCs/>
          <w:color w:val="000000" w:themeColor="text1"/>
          <w:sz w:val="24"/>
          <w:szCs w:val="24"/>
        </w:rPr>
        <w:t xml:space="preserve">: different and inconsistent approaches of beneficiaries in filling in the monitoring templates, low reliability of information related to physical progress of projects, no update of </w:t>
      </w:r>
      <w:r w:rsidR="001E06D1" w:rsidRPr="006319E6">
        <w:rPr>
          <w:rFonts w:asciiTheme="minorHAnsi" w:hAnsiTheme="minorHAnsi" w:cstheme="minorHAnsi"/>
          <w:iCs/>
          <w:color w:val="000000" w:themeColor="text1"/>
          <w:sz w:val="24"/>
          <w:szCs w:val="24"/>
        </w:rPr>
        <w:t>projects and contracts calendars</w:t>
      </w:r>
    </w:p>
    <w:p w:rsidR="00302227" w:rsidRPr="006319E6" w:rsidRDefault="00302227"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Underperforming managerial level at the FB</w:t>
      </w:r>
    </w:p>
    <w:p w:rsidR="00822867" w:rsidRPr="006319E6" w:rsidRDefault="00822867" w:rsidP="00121957">
      <w:p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Based on the above mentioned, the proposed measures for consolidated the administrative capacity of the main beneficiaries are focused on the following main pillars:</w:t>
      </w:r>
    </w:p>
    <w:p w:rsidR="00822867" w:rsidRPr="006319E6" w:rsidRDefault="00822867" w:rsidP="00822867">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Public procurement (dealt at horizontal level)</w:t>
      </w:r>
    </w:p>
    <w:p w:rsidR="00822867" w:rsidRPr="006319E6" w:rsidRDefault="00822867" w:rsidP="00822867">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Implementing environmental requirements (dealt at horizontal level and also at internal level of the beneficiaries, at personnel and procedures level)</w:t>
      </w:r>
    </w:p>
    <w:p w:rsidR="00822867" w:rsidRPr="006319E6" w:rsidRDefault="00822867" w:rsidP="00822867">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Developing and prioritising a mature project pipeline</w:t>
      </w:r>
    </w:p>
    <w:p w:rsidR="00822867" w:rsidRPr="006319E6" w:rsidRDefault="00822867" w:rsidP="00822867">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Financial project management &amp; funding for maintenance and operations</w:t>
      </w:r>
    </w:p>
    <w:p w:rsidR="006F7561" w:rsidRPr="006319E6" w:rsidRDefault="006F7561"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Contract management and monitoring</w:t>
      </w:r>
      <w:r w:rsidR="00863B3D" w:rsidRPr="006319E6">
        <w:rPr>
          <w:rFonts w:asciiTheme="minorHAnsi" w:hAnsiTheme="minorHAnsi" w:cstheme="minorHAnsi"/>
          <w:iCs/>
          <w:color w:val="000000" w:themeColor="text1"/>
          <w:sz w:val="24"/>
          <w:szCs w:val="24"/>
        </w:rPr>
        <w:t xml:space="preserve"> </w:t>
      </w:r>
    </w:p>
    <w:p w:rsidR="00302227" w:rsidRPr="006319E6" w:rsidRDefault="00302227" w:rsidP="006F7561">
      <w:pPr>
        <w:pStyle w:val="ListParagraph"/>
        <w:numPr>
          <w:ilvl w:val="0"/>
          <w:numId w:val="13"/>
        </w:numPr>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Performance agreements</w:t>
      </w:r>
    </w:p>
    <w:p w:rsidR="00822867" w:rsidRPr="006319E6" w:rsidRDefault="00822867" w:rsidP="00121957">
      <w:pPr>
        <w:jc w:val="both"/>
        <w:rPr>
          <w:rFonts w:asciiTheme="minorHAnsi" w:hAnsiTheme="minorHAnsi" w:cstheme="minorHAnsi"/>
          <w:color w:val="000000" w:themeColor="text1"/>
          <w:sz w:val="24"/>
          <w:szCs w:val="24"/>
        </w:rPr>
      </w:pPr>
    </w:p>
    <w:p w:rsidR="00226108" w:rsidRPr="006319E6" w:rsidRDefault="00F07F1F">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Public procurement</w:t>
      </w:r>
    </w:p>
    <w:p w:rsidR="00121957" w:rsidRPr="006319E6" w:rsidRDefault="00121957" w:rsidP="00682FFE">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Issues regarding the tendering process are primarily dealt within the action plan for implementing the ex-ante conditionality on public procurement. A working group has been established in partnership with DG Markt and DG Regio in order to refine the current action plan. </w:t>
      </w:r>
    </w:p>
    <w:p w:rsidR="00121957" w:rsidRPr="006319E6" w:rsidRDefault="00121957" w:rsidP="00682FFE">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Of special relevance for the beneficiaries are the following points of the action plan:</w:t>
      </w:r>
    </w:p>
    <w:p w:rsidR="00121957" w:rsidRPr="006319E6" w:rsidRDefault="00EC5DEA" w:rsidP="00682FFE">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eastAsia="Calibri" w:hAnsiTheme="minorHAnsi" w:cstheme="minorHAnsi"/>
          <w:color w:val="000000" w:themeColor="text1"/>
          <w:sz w:val="24"/>
          <w:szCs w:val="24"/>
          <w:lang w:val="en-US" w:eastAsia="ro-RO"/>
        </w:rPr>
        <w:t>A</w:t>
      </w:r>
      <w:r w:rsidR="00121957" w:rsidRPr="006319E6">
        <w:rPr>
          <w:rFonts w:asciiTheme="minorHAnsi" w:eastAsia="Calibri" w:hAnsiTheme="minorHAnsi" w:cstheme="minorHAnsi"/>
          <w:color w:val="000000" w:themeColor="text1"/>
          <w:sz w:val="24"/>
          <w:szCs w:val="24"/>
          <w:lang w:val="en-US" w:eastAsia="ro-RO"/>
        </w:rPr>
        <w:t xml:space="preserve"> best practice guide with regard to the main steps to be followed during the evaluation process, regardless of the funding and financing source (June 2016)</w:t>
      </w:r>
    </w:p>
    <w:p w:rsidR="00121957" w:rsidRPr="006319E6" w:rsidRDefault="00121957" w:rsidP="00121957">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eastAsia="Calibri" w:hAnsiTheme="minorHAnsi" w:cstheme="minorHAnsi"/>
          <w:color w:val="000000" w:themeColor="text1"/>
          <w:sz w:val="24"/>
          <w:szCs w:val="24"/>
          <w:lang w:val="en-US" w:eastAsia="ro-RO"/>
        </w:rPr>
        <w:t>Developing, whenever relevant, standardized tendering documentation and recoursing, whenever relevant, to CPA (central purchasing bodies) (June 2016)</w:t>
      </w:r>
    </w:p>
    <w:p w:rsidR="00121957" w:rsidRPr="006319E6" w:rsidRDefault="00121957" w:rsidP="00682FFE">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National Strategy on training that will envisage the following tasks: pooling expertise for evaluation and reviewing the effectiveness of trainings (September 2015)</w:t>
      </w:r>
    </w:p>
    <w:p w:rsidR="00121957" w:rsidRPr="006319E6" w:rsidRDefault="00121957" w:rsidP="00682FFE">
      <w:pPr>
        <w:autoSpaceDE w:val="0"/>
        <w:autoSpaceDN w:val="0"/>
        <w:adjustRightInd w:val="0"/>
        <w:jc w:val="both"/>
        <w:rPr>
          <w:rFonts w:asciiTheme="minorHAnsi" w:hAnsiTheme="minorHAnsi" w:cstheme="minorHAnsi"/>
          <w:color w:val="000000" w:themeColor="text1"/>
          <w:sz w:val="24"/>
          <w:szCs w:val="24"/>
        </w:rPr>
      </w:pPr>
      <w:r w:rsidRPr="006319E6">
        <w:rPr>
          <w:rFonts w:asciiTheme="minorHAnsi" w:hAnsiTheme="minorHAnsi" w:cstheme="minorHAnsi"/>
          <w:color w:val="000000" w:themeColor="text1"/>
          <w:sz w:val="24"/>
          <w:szCs w:val="24"/>
        </w:rPr>
        <w:t>As regards the transport sector beneficiaries, a number of specific topics can however be identified, as follows:</w:t>
      </w:r>
    </w:p>
    <w:p w:rsidR="00121957" w:rsidRPr="006319E6" w:rsidRDefault="00121957" w:rsidP="00682FFE">
      <w:pPr>
        <w:pStyle w:val="ListParagraph"/>
        <w:numPr>
          <w:ilvl w:val="0"/>
          <w:numId w:val="8"/>
        </w:numPr>
        <w:autoSpaceDE w:val="0"/>
        <w:autoSpaceDN w:val="0"/>
        <w:adjustRightInd w:val="0"/>
        <w:jc w:val="both"/>
        <w:rPr>
          <w:rFonts w:asciiTheme="minorHAnsi" w:hAnsiTheme="minorHAnsi" w:cstheme="minorHAnsi"/>
          <w:color w:val="000000" w:themeColor="text1"/>
          <w:sz w:val="24"/>
          <w:szCs w:val="24"/>
        </w:rPr>
      </w:pPr>
      <w:r w:rsidRPr="006319E6">
        <w:rPr>
          <w:rFonts w:asciiTheme="minorHAnsi" w:hAnsiTheme="minorHAnsi" w:cstheme="minorHAnsi"/>
          <w:color w:val="000000" w:themeColor="text1"/>
          <w:sz w:val="24"/>
          <w:szCs w:val="24"/>
        </w:rPr>
        <w:t>Ensure that public procurement is dealt with in a unitary manner within each beneficiary, with the same procedures and coordination, regardless of the source of funds,</w:t>
      </w:r>
    </w:p>
    <w:p w:rsidR="00121957" w:rsidRPr="006319E6" w:rsidRDefault="00121957" w:rsidP="00682FFE">
      <w:pPr>
        <w:pStyle w:val="ListParagraph"/>
        <w:numPr>
          <w:ilvl w:val="0"/>
          <w:numId w:val="8"/>
        </w:numPr>
        <w:autoSpaceDE w:val="0"/>
        <w:autoSpaceDN w:val="0"/>
        <w:adjustRightInd w:val="0"/>
        <w:jc w:val="both"/>
        <w:rPr>
          <w:rFonts w:asciiTheme="minorHAnsi" w:hAnsiTheme="minorHAnsi" w:cstheme="minorHAnsi"/>
          <w:color w:val="000000" w:themeColor="text1"/>
          <w:sz w:val="24"/>
          <w:szCs w:val="24"/>
        </w:rPr>
      </w:pPr>
      <w:r w:rsidRPr="006319E6">
        <w:rPr>
          <w:rFonts w:asciiTheme="minorHAnsi" w:hAnsiTheme="minorHAnsi" w:cstheme="minorHAnsi"/>
          <w:color w:val="000000" w:themeColor="text1"/>
          <w:sz w:val="24"/>
          <w:szCs w:val="24"/>
        </w:rPr>
        <w:t>Establish systems in order to ensure monitoring and ex-post evaluation of tender procedures,</w:t>
      </w:r>
    </w:p>
    <w:p w:rsidR="00121957" w:rsidRPr="006319E6" w:rsidRDefault="00121957" w:rsidP="00682FFE">
      <w:pPr>
        <w:pStyle w:val="ListParagraph"/>
        <w:numPr>
          <w:ilvl w:val="0"/>
          <w:numId w:val="8"/>
        </w:numPr>
        <w:autoSpaceDE w:val="0"/>
        <w:autoSpaceDN w:val="0"/>
        <w:adjustRightInd w:val="0"/>
        <w:jc w:val="both"/>
        <w:rPr>
          <w:rFonts w:asciiTheme="minorHAnsi" w:hAnsiTheme="minorHAnsi" w:cstheme="minorHAnsi"/>
          <w:color w:val="000000" w:themeColor="text1"/>
          <w:sz w:val="24"/>
          <w:szCs w:val="24"/>
        </w:rPr>
      </w:pPr>
      <w:r w:rsidRPr="006319E6">
        <w:rPr>
          <w:rFonts w:asciiTheme="minorHAnsi" w:hAnsiTheme="minorHAnsi" w:cstheme="minorHAnsi"/>
          <w:color w:val="000000" w:themeColor="text1"/>
          <w:sz w:val="24"/>
          <w:szCs w:val="24"/>
        </w:rPr>
        <w:t>Establish system in order to perform an ex-post evaluation of works contracts (final price, final duration, reasons for slippage, etc</w:t>
      </w:r>
      <w:r w:rsidR="005610DC" w:rsidRPr="006319E6">
        <w:rPr>
          <w:rFonts w:asciiTheme="minorHAnsi" w:hAnsiTheme="minorHAnsi" w:cstheme="minorHAnsi"/>
          <w:color w:val="000000" w:themeColor="text1"/>
          <w:sz w:val="24"/>
          <w:szCs w:val="24"/>
        </w:rPr>
        <w:t>.</w:t>
      </w:r>
      <w:r w:rsidRPr="006319E6">
        <w:rPr>
          <w:rFonts w:asciiTheme="minorHAnsi" w:hAnsiTheme="minorHAnsi" w:cstheme="minorHAnsi"/>
          <w:color w:val="000000" w:themeColor="text1"/>
          <w:sz w:val="24"/>
          <w:szCs w:val="24"/>
        </w:rPr>
        <w:t>)</w:t>
      </w:r>
    </w:p>
    <w:p w:rsidR="00B62423" w:rsidRPr="006319E6" w:rsidRDefault="00B62423" w:rsidP="005E01E1">
      <w:pPr>
        <w:rPr>
          <w:rFonts w:asciiTheme="minorHAnsi" w:hAnsiTheme="minorHAnsi" w:cstheme="minorHAnsi"/>
          <w:b/>
          <w:color w:val="000000" w:themeColor="text1"/>
          <w:sz w:val="24"/>
          <w:szCs w:val="24"/>
        </w:rPr>
      </w:pPr>
    </w:p>
    <w:p w:rsidR="005E01E1" w:rsidRPr="006319E6" w:rsidRDefault="005E01E1" w:rsidP="005E01E1">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Implementing environmental requirements</w:t>
      </w:r>
    </w:p>
    <w:p w:rsidR="005E01E1" w:rsidRPr="006319E6" w:rsidRDefault="005E01E1" w:rsidP="005E01E1">
      <w:p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While the legislation is fully harmonised with the relevant European Directives, the issue of environmental requirements will focus on actual implementation, monitoring and organisation. Compliance of the implementation of environmental requirements will be ensured in the following ways:</w:t>
      </w:r>
    </w:p>
    <w:p w:rsidR="005E01E1" w:rsidRPr="006319E6" w:rsidRDefault="005E01E1" w:rsidP="005E01E1">
      <w:pPr>
        <w:pStyle w:val="ListParagraph"/>
        <w:numPr>
          <w:ilvl w:val="0"/>
          <w:numId w:val="20"/>
        </w:num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ensure that the main beneficiaries have, within their organisation, dedicated and trained staff in charge of environmental compliance,</w:t>
      </w:r>
    </w:p>
    <w:p w:rsidR="005E01E1" w:rsidRPr="006319E6" w:rsidRDefault="005E01E1" w:rsidP="005E01E1">
      <w:pPr>
        <w:pStyle w:val="ListParagraph"/>
        <w:numPr>
          <w:ilvl w:val="0"/>
          <w:numId w:val="20"/>
        </w:num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ensure that works contracts fully take into account the provisions of Environmental Permits and results of EIA procedures during designing the TA for works</w:t>
      </w:r>
    </w:p>
    <w:p w:rsidR="005E01E1" w:rsidRPr="006319E6" w:rsidRDefault="005E01E1" w:rsidP="005E01E1">
      <w:pPr>
        <w:pStyle w:val="ListParagraph"/>
        <w:numPr>
          <w:ilvl w:val="0"/>
          <w:numId w:val="20"/>
        </w:num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ensure that tender specifications for works contracts are drafted based on fully valid Environmental Permits,</w:t>
      </w:r>
    </w:p>
    <w:p w:rsidR="005E01E1" w:rsidRPr="006319E6" w:rsidRDefault="005E01E1" w:rsidP="005E01E1">
      <w:pPr>
        <w:pStyle w:val="ListParagraph"/>
        <w:numPr>
          <w:ilvl w:val="0"/>
          <w:numId w:val="20"/>
        </w:num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improve the system for monitoring and reporting compliance of contractors with their environmental obligations.</w:t>
      </w:r>
    </w:p>
    <w:p w:rsidR="005E01E1" w:rsidRPr="006319E6" w:rsidRDefault="005E01E1" w:rsidP="005E01E1">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In addition, appropriate training on procedures for implementing the environmental requirements is to be provided both for the main beneficiaries and for the Ministry of Transport. The training sessions will be provided either under the measures foreseen under the ex-ante conditionality for implementing SEA/EIA legislation or with JASPERS support, for specific issues related to the stakeholders needs.</w:t>
      </w:r>
    </w:p>
    <w:p w:rsidR="00B62423" w:rsidRPr="006319E6" w:rsidRDefault="00B62423" w:rsidP="005610DC">
      <w:pPr>
        <w:rPr>
          <w:rFonts w:asciiTheme="minorHAnsi" w:hAnsiTheme="minorHAnsi" w:cstheme="minorHAnsi"/>
          <w:b/>
          <w:color w:val="000000" w:themeColor="text1"/>
          <w:sz w:val="24"/>
          <w:szCs w:val="24"/>
        </w:rPr>
      </w:pPr>
    </w:p>
    <w:p w:rsidR="00B62423" w:rsidRPr="006319E6" w:rsidRDefault="00B62423" w:rsidP="005610DC">
      <w:pPr>
        <w:rPr>
          <w:rFonts w:asciiTheme="minorHAnsi" w:hAnsiTheme="minorHAnsi" w:cstheme="minorHAnsi"/>
          <w:b/>
          <w:color w:val="000000" w:themeColor="text1"/>
          <w:sz w:val="24"/>
          <w:szCs w:val="24"/>
        </w:rPr>
      </w:pPr>
    </w:p>
    <w:p w:rsidR="005E01E1" w:rsidRPr="006319E6" w:rsidRDefault="005610DC" w:rsidP="005610DC">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Developing and prioritising a mature project pipeline</w:t>
      </w:r>
    </w:p>
    <w:p w:rsidR="005610DC" w:rsidRPr="006319E6" w:rsidRDefault="005610DC" w:rsidP="005610DC">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The following actions have been identified in order to ensure that the beneficiaries develop a mature project pipeline, in line with the priorities of the </w:t>
      </w:r>
      <w:r w:rsidR="004A1686" w:rsidRPr="006319E6">
        <w:rPr>
          <w:rFonts w:asciiTheme="minorHAnsi" w:hAnsiTheme="minorHAnsi" w:cstheme="minorHAnsi"/>
          <w:iCs/>
          <w:color w:val="000000" w:themeColor="text1"/>
          <w:sz w:val="24"/>
          <w:szCs w:val="24"/>
        </w:rPr>
        <w:t xml:space="preserve">General Master Plan </w:t>
      </w:r>
      <w:r w:rsidRPr="006319E6">
        <w:rPr>
          <w:rFonts w:asciiTheme="minorHAnsi" w:hAnsiTheme="minorHAnsi" w:cstheme="minorHAnsi"/>
          <w:iCs/>
          <w:color w:val="000000" w:themeColor="text1"/>
          <w:sz w:val="24"/>
          <w:szCs w:val="24"/>
        </w:rPr>
        <w:t>Transport:</w:t>
      </w:r>
    </w:p>
    <w:p w:rsidR="005610DC" w:rsidRPr="006319E6" w:rsidRDefault="005610DC" w:rsidP="005610DC">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develop a check list on tender documents for feasibility studies and designs, ensuring that the results will ensure sufficient maturity of the underlying project,</w:t>
      </w:r>
    </w:p>
    <w:p w:rsidR="005610DC" w:rsidRPr="006319E6" w:rsidRDefault="005610DC" w:rsidP="005610DC">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introduce a check list of maturity at signature of works contracts,</w:t>
      </w:r>
    </w:p>
    <w:p w:rsidR="005610DC" w:rsidRPr="006319E6" w:rsidRDefault="005610DC" w:rsidP="005610DC">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continue cooperation with Jaspers for EU-funded projects,</w:t>
      </w:r>
    </w:p>
    <w:p w:rsidR="005610DC" w:rsidRPr="006319E6" w:rsidRDefault="005610DC" w:rsidP="005610DC">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improve management and monitoring of project preparation by the beneficiary services.</w:t>
      </w:r>
    </w:p>
    <w:p w:rsidR="00302227" w:rsidRPr="006319E6" w:rsidRDefault="00302227" w:rsidP="005610DC">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Implement the GTMP Guides on CBA and transport project evaluation</w:t>
      </w:r>
    </w:p>
    <w:p w:rsidR="005610DC" w:rsidRPr="006319E6" w:rsidRDefault="004A1686" w:rsidP="005610DC">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Financial project management &amp; funding for maintenance and operations</w:t>
      </w:r>
    </w:p>
    <w:p w:rsidR="004A1686" w:rsidRPr="006319E6" w:rsidRDefault="004A1686" w:rsidP="00822867">
      <w:pPr>
        <w:autoSpaceDE w:val="0"/>
        <w:autoSpaceDN w:val="0"/>
        <w:adjustRightInd w:val="0"/>
        <w:spacing w:after="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When drafting the internal procedure of the MA for LIOP and beneficiaries, as well as the applicant guide for preparing project application, the following issues are to be addressed:</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streamlining project budgeting, including for non-eligible expenditures;</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ensuring that adequate audit trail is maintained for all projects regardless of source of funding;</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ensuring that accountancy system enables to assess full project costs;</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monitoring that resources allocation for transport infrastructure at national level meet the commitment of 2% of GDP, through the performance contracts;</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ensuring that adequate funding is allocated to maintenance in road and rail sectors;</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focus</w:t>
      </w:r>
      <w:r w:rsidR="00571D1A" w:rsidRPr="006319E6">
        <w:rPr>
          <w:rFonts w:asciiTheme="minorHAnsi" w:hAnsiTheme="minorHAnsi" w:cstheme="minorHAnsi"/>
          <w:iCs/>
          <w:color w:val="000000" w:themeColor="text1"/>
          <w:sz w:val="24"/>
          <w:szCs w:val="24"/>
        </w:rPr>
        <w:t>ing</w:t>
      </w:r>
      <w:r w:rsidRPr="006319E6">
        <w:rPr>
          <w:rFonts w:asciiTheme="minorHAnsi" w:hAnsiTheme="minorHAnsi" w:cstheme="minorHAnsi"/>
          <w:iCs/>
          <w:color w:val="000000" w:themeColor="text1"/>
          <w:sz w:val="24"/>
          <w:szCs w:val="24"/>
        </w:rPr>
        <w:t xml:space="preserve"> </w:t>
      </w:r>
      <w:r w:rsidR="00571D1A" w:rsidRPr="006319E6">
        <w:rPr>
          <w:rFonts w:asciiTheme="minorHAnsi" w:hAnsiTheme="minorHAnsi" w:cstheme="minorHAnsi"/>
          <w:iCs/>
          <w:color w:val="000000" w:themeColor="text1"/>
          <w:sz w:val="24"/>
          <w:szCs w:val="24"/>
        </w:rPr>
        <w:t xml:space="preserve">on guidance for decision-makers and </w:t>
      </w:r>
      <w:r w:rsidRPr="006319E6">
        <w:rPr>
          <w:rFonts w:asciiTheme="minorHAnsi" w:hAnsiTheme="minorHAnsi" w:cstheme="minorHAnsi"/>
          <w:iCs/>
          <w:color w:val="000000" w:themeColor="text1"/>
          <w:sz w:val="24"/>
          <w:szCs w:val="24"/>
        </w:rPr>
        <w:t>streamlin</w:t>
      </w:r>
      <w:r w:rsidR="00571D1A" w:rsidRPr="006319E6">
        <w:rPr>
          <w:rFonts w:asciiTheme="minorHAnsi" w:hAnsiTheme="minorHAnsi" w:cstheme="minorHAnsi"/>
          <w:iCs/>
          <w:color w:val="000000" w:themeColor="text1"/>
          <w:sz w:val="24"/>
          <w:szCs w:val="24"/>
        </w:rPr>
        <w:t>ing</w:t>
      </w:r>
      <w:r w:rsidRPr="006319E6">
        <w:rPr>
          <w:rFonts w:asciiTheme="minorHAnsi" w:hAnsiTheme="minorHAnsi" w:cstheme="minorHAnsi"/>
          <w:iCs/>
          <w:color w:val="000000" w:themeColor="text1"/>
          <w:sz w:val="24"/>
          <w:szCs w:val="24"/>
        </w:rPr>
        <w:t xml:space="preserve"> decision-making flows by type of decisions,</w:t>
      </w:r>
    </w:p>
    <w:p w:rsidR="004A1686" w:rsidRPr="006319E6" w:rsidRDefault="00571D1A"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removing</w:t>
      </w:r>
      <w:r w:rsidR="004A1686" w:rsidRPr="006319E6">
        <w:rPr>
          <w:rFonts w:asciiTheme="minorHAnsi" w:hAnsiTheme="minorHAnsi" w:cstheme="minorHAnsi"/>
          <w:iCs/>
          <w:color w:val="000000" w:themeColor="text1"/>
          <w:sz w:val="24"/>
          <w:szCs w:val="24"/>
        </w:rPr>
        <w:t xml:space="preserve"> a number of external sources of blockages,</w:t>
      </w:r>
    </w:p>
    <w:p w:rsidR="004A1686" w:rsidRPr="006319E6" w:rsidRDefault="004A1686"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implement</w:t>
      </w:r>
      <w:r w:rsidR="00571D1A" w:rsidRPr="006319E6">
        <w:rPr>
          <w:rFonts w:asciiTheme="minorHAnsi" w:hAnsiTheme="minorHAnsi" w:cstheme="minorHAnsi"/>
          <w:iCs/>
          <w:color w:val="000000" w:themeColor="text1"/>
          <w:sz w:val="24"/>
          <w:szCs w:val="24"/>
        </w:rPr>
        <w:t>ing</w:t>
      </w:r>
      <w:r w:rsidRPr="006319E6">
        <w:rPr>
          <w:rFonts w:asciiTheme="minorHAnsi" w:hAnsiTheme="minorHAnsi" w:cstheme="minorHAnsi"/>
          <w:iCs/>
          <w:color w:val="000000" w:themeColor="text1"/>
          <w:sz w:val="24"/>
          <w:szCs w:val="24"/>
        </w:rPr>
        <w:t xml:space="preserve"> system of protection of employees in front of their employer and in front of third parties but for the case of fraud or intentional errors,</w:t>
      </w:r>
    </w:p>
    <w:p w:rsidR="004A1686" w:rsidRPr="006319E6" w:rsidRDefault="00571D1A" w:rsidP="004A1686">
      <w:pPr>
        <w:pStyle w:val="ListParagraph"/>
        <w:numPr>
          <w:ilvl w:val="0"/>
          <w:numId w:val="8"/>
        </w:num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improving</w:t>
      </w:r>
      <w:r w:rsidR="004A1686" w:rsidRPr="006319E6">
        <w:rPr>
          <w:rFonts w:asciiTheme="minorHAnsi" w:hAnsiTheme="minorHAnsi" w:cstheme="minorHAnsi"/>
          <w:iCs/>
          <w:color w:val="000000" w:themeColor="text1"/>
          <w:sz w:val="24"/>
          <w:szCs w:val="24"/>
        </w:rPr>
        <w:t xml:space="preserve"> </w:t>
      </w:r>
      <w:r w:rsidRPr="006319E6">
        <w:rPr>
          <w:rFonts w:asciiTheme="minorHAnsi" w:hAnsiTheme="minorHAnsi" w:cstheme="minorHAnsi"/>
          <w:iCs/>
          <w:color w:val="000000" w:themeColor="text1"/>
          <w:sz w:val="24"/>
          <w:szCs w:val="24"/>
        </w:rPr>
        <w:t>human resources</w:t>
      </w:r>
      <w:r w:rsidR="004A1686" w:rsidRPr="006319E6">
        <w:rPr>
          <w:rFonts w:asciiTheme="minorHAnsi" w:hAnsiTheme="minorHAnsi" w:cstheme="minorHAnsi"/>
          <w:iCs/>
          <w:color w:val="000000" w:themeColor="text1"/>
          <w:sz w:val="24"/>
          <w:szCs w:val="24"/>
        </w:rPr>
        <w:t xml:space="preserve"> management systems</w:t>
      </w:r>
      <w:r w:rsidRPr="006319E6">
        <w:rPr>
          <w:rFonts w:asciiTheme="minorHAnsi" w:hAnsiTheme="minorHAnsi" w:cstheme="minorHAnsi"/>
          <w:iCs/>
          <w:color w:val="000000" w:themeColor="text1"/>
          <w:sz w:val="24"/>
          <w:szCs w:val="24"/>
        </w:rPr>
        <w:t xml:space="preserve"> though dedicated training and procedures for the decision-makers.</w:t>
      </w:r>
    </w:p>
    <w:p w:rsidR="00571D1A" w:rsidRPr="006319E6" w:rsidRDefault="00571D1A" w:rsidP="00571D1A">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Contract management and monitoring</w:t>
      </w:r>
    </w:p>
    <w:p w:rsidR="00F07F1F" w:rsidRPr="006319E6" w:rsidRDefault="00F07F1F" w:rsidP="005E01E1">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Within the </w:t>
      </w:r>
      <w:r w:rsidRPr="006319E6">
        <w:rPr>
          <w:rFonts w:asciiTheme="minorHAnsi" w:hAnsiTheme="minorHAnsi" w:cstheme="minorHAnsi"/>
          <w:i/>
          <w:iCs/>
          <w:color w:val="000000" w:themeColor="text1"/>
          <w:sz w:val="24"/>
          <w:szCs w:val="24"/>
        </w:rPr>
        <w:t>Project Implementation Service Support Assistance contract</w:t>
      </w:r>
      <w:r w:rsidRPr="006319E6">
        <w:rPr>
          <w:rFonts w:asciiTheme="minorHAnsi" w:hAnsiTheme="minorHAnsi" w:cstheme="minorHAnsi"/>
          <w:iCs/>
          <w:color w:val="000000" w:themeColor="text1"/>
          <w:sz w:val="24"/>
          <w:szCs w:val="24"/>
        </w:rPr>
        <w:t>, EIB experts have provided specialised expertise for workshops and seminars for on contract management, FIDIC rules. Other type of ad-hoc seminars are to be organised by the end of 2015, based on the specific requirements of beneficiaries.</w:t>
      </w:r>
    </w:p>
    <w:p w:rsidR="00571D1A" w:rsidRPr="006319E6" w:rsidRDefault="00F07F1F" w:rsidP="00F07F1F">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Further technical assistance scheme are available under the OP TA 2014-2020. </w:t>
      </w:r>
      <w:r w:rsidR="00571D1A" w:rsidRPr="006319E6">
        <w:rPr>
          <w:rFonts w:asciiTheme="minorHAnsi" w:hAnsiTheme="minorHAnsi" w:cstheme="minorHAnsi"/>
          <w:iCs/>
          <w:color w:val="000000" w:themeColor="text1"/>
          <w:sz w:val="24"/>
          <w:szCs w:val="24"/>
        </w:rPr>
        <w:t>I</w:t>
      </w:r>
      <w:r w:rsidRPr="006319E6">
        <w:rPr>
          <w:rFonts w:asciiTheme="minorHAnsi" w:hAnsiTheme="minorHAnsi" w:cstheme="minorHAnsi"/>
          <w:iCs/>
          <w:color w:val="000000" w:themeColor="text1"/>
          <w:sz w:val="24"/>
          <w:szCs w:val="24"/>
        </w:rPr>
        <w:t xml:space="preserve">n terms of specific training needs for specific needs (public procurement, contract management financial management, irregularities and fraud etc.). </w:t>
      </w:r>
    </w:p>
    <w:p w:rsidR="00F07F1F" w:rsidRPr="006319E6" w:rsidRDefault="00F07F1F" w:rsidP="00F07F1F">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The main beneficiaries in transport sector managing a large projects portfolio benefit of TA assistance for project preparation, implementation and management, including support for decision making related to project management, legal assistance, analysis and evaluation of the management at beneficiaries level, assistance to capacity building and for ensuring a good financial management.</w:t>
      </w:r>
    </w:p>
    <w:p w:rsidR="00F07F1F" w:rsidRPr="006319E6" w:rsidRDefault="00F07F1F" w:rsidP="00F07F1F">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lastRenderedPageBreak/>
        <w:t>The current TA contract implemented under SOP T 2007-2013 will be continued under the OP TA 2014-2020, through concluding new TA contracts for the main needs to be identified.</w:t>
      </w:r>
    </w:p>
    <w:p w:rsidR="00571D1A" w:rsidRPr="006319E6" w:rsidRDefault="00571D1A" w:rsidP="00571D1A">
      <w:pPr>
        <w:rPr>
          <w:rFonts w:asciiTheme="minorHAnsi" w:hAnsiTheme="minorHAnsi" w:cstheme="minorHAnsi"/>
          <w:b/>
          <w:color w:val="000000" w:themeColor="text1"/>
          <w:sz w:val="24"/>
          <w:szCs w:val="24"/>
        </w:rPr>
      </w:pPr>
      <w:r w:rsidRPr="006319E6">
        <w:rPr>
          <w:rFonts w:asciiTheme="minorHAnsi" w:hAnsiTheme="minorHAnsi" w:cstheme="minorHAnsi"/>
          <w:b/>
          <w:color w:val="000000" w:themeColor="text1"/>
          <w:sz w:val="24"/>
          <w:szCs w:val="24"/>
        </w:rPr>
        <w:t>Adequate assistance schemes are in place to help beneficiaries during procedure and implementation to be able to replace projects quickly when implementation is blocked.</w:t>
      </w:r>
    </w:p>
    <w:p w:rsidR="00302227" w:rsidRPr="006319E6" w:rsidRDefault="00302227" w:rsidP="00571D1A">
      <w:pPr>
        <w:autoSpaceDE w:val="0"/>
        <w:autoSpaceDN w:val="0"/>
        <w:adjustRightInd w:val="0"/>
        <w:jc w:val="both"/>
        <w:rPr>
          <w:rFonts w:asciiTheme="minorHAnsi" w:hAnsiTheme="minorHAnsi" w:cstheme="minorHAnsi"/>
          <w:b/>
          <w:iCs/>
          <w:color w:val="000000" w:themeColor="text1"/>
          <w:sz w:val="24"/>
          <w:szCs w:val="24"/>
        </w:rPr>
      </w:pPr>
      <w:r w:rsidRPr="006319E6">
        <w:rPr>
          <w:rFonts w:asciiTheme="minorHAnsi" w:hAnsiTheme="minorHAnsi" w:cstheme="minorHAnsi"/>
          <w:b/>
          <w:iCs/>
          <w:color w:val="000000" w:themeColor="text1"/>
          <w:sz w:val="24"/>
          <w:szCs w:val="24"/>
        </w:rPr>
        <w:t>Performance agreements</w:t>
      </w:r>
    </w:p>
    <w:p w:rsidR="00302227" w:rsidRPr="006319E6" w:rsidRDefault="00302227" w:rsidP="00C11E9C">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Following the GTMP approval the implementation strategy should be the basis for concluding the </w:t>
      </w:r>
      <w:r w:rsidR="00C11E9C" w:rsidRPr="006319E6">
        <w:rPr>
          <w:rFonts w:asciiTheme="minorHAnsi" w:hAnsiTheme="minorHAnsi" w:cstheme="minorHAnsi"/>
          <w:iCs/>
          <w:color w:val="000000" w:themeColor="text1"/>
          <w:sz w:val="24"/>
          <w:szCs w:val="24"/>
        </w:rPr>
        <w:t>performance agreements with the transport beneficiaries, in particular infrastructure administrators. This would ensure the much needed budgetary and objectives' stability for the companies and lead to, a quicker and smoother implementation of the projects as well as full compliance with maintenance standards and operational obligations.</w:t>
      </w:r>
    </w:p>
    <w:p w:rsidR="00C11E9C" w:rsidRPr="006319E6" w:rsidRDefault="004727DF" w:rsidP="00C11E9C">
      <w:pPr>
        <w:autoSpaceDE w:val="0"/>
        <w:autoSpaceDN w:val="0"/>
        <w:adjustRightInd w:val="0"/>
        <w:jc w:val="both"/>
        <w:rPr>
          <w:rFonts w:asciiTheme="minorHAnsi" w:hAnsiTheme="minorHAnsi" w:cstheme="minorHAnsi"/>
          <w:iCs/>
          <w:color w:val="000000" w:themeColor="text1"/>
          <w:sz w:val="24"/>
          <w:szCs w:val="24"/>
        </w:rPr>
      </w:pPr>
      <w:r>
        <w:rPr>
          <w:rFonts w:asciiTheme="minorHAnsi" w:hAnsiTheme="minorHAnsi" w:cstheme="minorHAnsi"/>
          <w:iCs/>
          <w:color w:val="000000" w:themeColor="text1"/>
          <w:sz w:val="24"/>
          <w:szCs w:val="24"/>
        </w:rPr>
        <w:t xml:space="preserve">The mandate to be granted through the performance contracts will stem from the GTMP (network, current status of the network, lists of projects, available financial resources). </w:t>
      </w:r>
      <w:r w:rsidR="00C11E9C" w:rsidRPr="006319E6">
        <w:rPr>
          <w:rFonts w:asciiTheme="minorHAnsi" w:hAnsiTheme="minorHAnsi" w:cstheme="minorHAnsi"/>
          <w:iCs/>
          <w:color w:val="000000" w:themeColor="text1"/>
          <w:sz w:val="24"/>
          <w:szCs w:val="24"/>
        </w:rPr>
        <w:t>The key aspects of the performance contracts will be the budget and GTMP indicators. Fina</w:t>
      </w:r>
      <w:r w:rsidR="00615065" w:rsidRPr="006319E6">
        <w:rPr>
          <w:rFonts w:asciiTheme="minorHAnsi" w:hAnsiTheme="minorHAnsi" w:cstheme="minorHAnsi"/>
          <w:iCs/>
          <w:color w:val="000000" w:themeColor="text1"/>
          <w:sz w:val="24"/>
          <w:szCs w:val="24"/>
        </w:rPr>
        <w:t>ncial stability will have to be ensured by the state authorities while companies will have to provide the results.</w:t>
      </w:r>
    </w:p>
    <w:p w:rsidR="00615065" w:rsidRDefault="00615065" w:rsidP="00C11E9C">
      <w:pPr>
        <w:autoSpaceDE w:val="0"/>
        <w:autoSpaceDN w:val="0"/>
        <w:adjustRightInd w:val="0"/>
        <w:jc w:val="both"/>
        <w:rPr>
          <w:rFonts w:asciiTheme="minorHAnsi" w:hAnsiTheme="minorHAnsi" w:cstheme="minorHAnsi"/>
          <w:iCs/>
          <w:color w:val="000000" w:themeColor="text1"/>
          <w:sz w:val="24"/>
          <w:szCs w:val="24"/>
        </w:rPr>
      </w:pPr>
      <w:r w:rsidRPr="006319E6">
        <w:rPr>
          <w:rFonts w:asciiTheme="minorHAnsi" w:hAnsiTheme="minorHAnsi" w:cstheme="minorHAnsi"/>
          <w:iCs/>
          <w:color w:val="000000" w:themeColor="text1"/>
          <w:sz w:val="24"/>
          <w:szCs w:val="24"/>
        </w:rPr>
        <w:t xml:space="preserve">The models already discussed with the EC or in the framework of the World Bank technical assistance projects </w:t>
      </w:r>
      <w:r w:rsidRPr="006319E6">
        <w:rPr>
          <w:rFonts w:asciiTheme="minorHAnsi" w:hAnsiTheme="minorHAnsi" w:cstheme="minorHAnsi"/>
          <w:iCs/>
          <w:color w:val="000000" w:themeColor="text1"/>
          <w:sz w:val="24"/>
          <w:szCs w:val="24"/>
          <w:lang w:val="en-US"/>
        </w:rPr>
        <w:t>will form the basis</w:t>
      </w:r>
      <w:r w:rsidRPr="006319E6">
        <w:rPr>
          <w:rFonts w:asciiTheme="minorHAnsi" w:hAnsiTheme="minorHAnsi" w:cstheme="minorHAnsi"/>
          <w:iCs/>
          <w:color w:val="000000" w:themeColor="text1"/>
          <w:sz w:val="24"/>
          <w:szCs w:val="24"/>
        </w:rPr>
        <w:t xml:space="preserve"> dra</w:t>
      </w:r>
      <w:r w:rsidR="004727DF">
        <w:rPr>
          <w:rFonts w:asciiTheme="minorHAnsi" w:hAnsiTheme="minorHAnsi" w:cstheme="minorHAnsi"/>
          <w:iCs/>
          <w:color w:val="000000" w:themeColor="text1"/>
          <w:sz w:val="24"/>
          <w:szCs w:val="24"/>
        </w:rPr>
        <w:t>fting the performance contracts.</w:t>
      </w:r>
    </w:p>
    <w:p w:rsidR="00226108" w:rsidRPr="00571D1A" w:rsidRDefault="00571D1A" w:rsidP="00571D1A">
      <w:pPr>
        <w:autoSpaceDE w:val="0"/>
        <w:autoSpaceDN w:val="0"/>
        <w:adjustRightInd w:val="0"/>
        <w:jc w:val="both"/>
        <w:rPr>
          <w:rFonts w:asciiTheme="minorHAnsi" w:hAnsiTheme="minorHAnsi" w:cstheme="minorHAnsi"/>
          <w:iCs/>
          <w:sz w:val="24"/>
          <w:szCs w:val="24"/>
        </w:rPr>
      </w:pPr>
      <w:r w:rsidRPr="006319E6">
        <w:rPr>
          <w:rFonts w:asciiTheme="minorHAnsi" w:hAnsiTheme="minorHAnsi" w:cstheme="minorHAnsi"/>
          <w:iCs/>
          <w:color w:val="000000" w:themeColor="text1"/>
          <w:sz w:val="24"/>
          <w:szCs w:val="24"/>
        </w:rPr>
        <w:t xml:space="preserve">The GTMP will be the national strategic document that will guide and priorities investment in transport sector. Promoting this approach, all projects to be financed from different sources can be eligible for financing under LIOP. The permanent support to beneficiaries in implementing the EU co-financed projects will also ensure support in replacing projects whenever the </w:t>
      </w:r>
      <w:r>
        <w:rPr>
          <w:rFonts w:asciiTheme="minorHAnsi" w:hAnsiTheme="minorHAnsi" w:cstheme="minorHAnsi"/>
          <w:iCs/>
          <w:sz w:val="24"/>
          <w:szCs w:val="24"/>
        </w:rPr>
        <w:t>implementation is blocked.</w:t>
      </w:r>
    </w:p>
    <w:sectPr w:rsidR="00226108" w:rsidRPr="00571D1A" w:rsidSect="007D0740">
      <w:pgSz w:w="11906" w:h="16838" w:code="9"/>
      <w:pgMar w:top="709"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79F" w:rsidRDefault="0017379F" w:rsidP="00521077">
      <w:pPr>
        <w:spacing w:after="0" w:line="240" w:lineRule="auto"/>
      </w:pPr>
      <w:r>
        <w:separator/>
      </w:r>
    </w:p>
  </w:endnote>
  <w:endnote w:type="continuationSeparator" w:id="0">
    <w:p w:rsidR="0017379F" w:rsidRDefault="0017379F" w:rsidP="00521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794453"/>
      <w:docPartObj>
        <w:docPartGallery w:val="Page Numbers (Bottom of Page)"/>
        <w:docPartUnique/>
      </w:docPartObj>
    </w:sdtPr>
    <w:sdtEndPr>
      <w:rPr>
        <w:noProof/>
      </w:rPr>
    </w:sdtEndPr>
    <w:sdtContent>
      <w:p w:rsidR="00BD17DC" w:rsidRDefault="00BD17DC">
        <w:pPr>
          <w:pStyle w:val="Footer"/>
          <w:jc w:val="right"/>
        </w:pPr>
        <w:r>
          <w:fldChar w:fldCharType="begin"/>
        </w:r>
        <w:r>
          <w:instrText xml:space="preserve"> PAGE   \* MERGEFORMAT </w:instrText>
        </w:r>
        <w:r>
          <w:fldChar w:fldCharType="separate"/>
        </w:r>
        <w:r w:rsidR="00B81635">
          <w:rPr>
            <w:noProof/>
          </w:rPr>
          <w:t>2</w:t>
        </w:r>
        <w:r>
          <w:rPr>
            <w:noProof/>
          </w:rPr>
          <w:fldChar w:fldCharType="end"/>
        </w:r>
      </w:p>
    </w:sdtContent>
  </w:sdt>
  <w:p w:rsidR="00BD17DC" w:rsidRDefault="00BD1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79F" w:rsidRDefault="0017379F" w:rsidP="00521077">
      <w:pPr>
        <w:spacing w:after="0" w:line="240" w:lineRule="auto"/>
      </w:pPr>
      <w:r>
        <w:separator/>
      </w:r>
    </w:p>
  </w:footnote>
  <w:footnote w:type="continuationSeparator" w:id="0">
    <w:p w:rsidR="0017379F" w:rsidRDefault="0017379F" w:rsidP="005210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4BB9"/>
    <w:multiLevelType w:val="hybridMultilevel"/>
    <w:tmpl w:val="F4D05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116DA6"/>
    <w:multiLevelType w:val="hybridMultilevel"/>
    <w:tmpl w:val="722095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7282DFA"/>
    <w:multiLevelType w:val="hybridMultilevel"/>
    <w:tmpl w:val="D864EBBC"/>
    <w:lvl w:ilvl="0" w:tplc="68981F80">
      <w:numFmt w:val="bullet"/>
      <w:lvlText w:val="-"/>
      <w:lvlJc w:val="left"/>
      <w:pPr>
        <w:ind w:left="2160" w:hanging="360"/>
      </w:pPr>
      <w:rPr>
        <w:rFonts w:ascii="Calibri" w:eastAsiaTheme="minorHAnsi" w:hAnsi="Calibri" w:cs="Calibri"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EDE0581"/>
    <w:multiLevelType w:val="hybridMultilevel"/>
    <w:tmpl w:val="12409CA6"/>
    <w:lvl w:ilvl="0" w:tplc="EDAEE754">
      <w:numFmt w:val="bullet"/>
      <w:lvlText w:val="•"/>
      <w:lvlJc w:val="left"/>
      <w:pPr>
        <w:ind w:left="1080" w:hanging="72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6AC6EE8"/>
    <w:multiLevelType w:val="hybridMultilevel"/>
    <w:tmpl w:val="073CE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BE3045"/>
    <w:multiLevelType w:val="hybridMultilevel"/>
    <w:tmpl w:val="29FCF236"/>
    <w:lvl w:ilvl="0" w:tplc="34109DF4">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8DA25DE"/>
    <w:multiLevelType w:val="multilevel"/>
    <w:tmpl w:val="64EC3534"/>
    <w:lvl w:ilvl="0">
      <w:start w:val="1"/>
      <w:numFmt w:val="decimal"/>
      <w:lvlText w:val="%1."/>
      <w:lvlJc w:val="left"/>
      <w:pPr>
        <w:tabs>
          <w:tab w:val="num" w:pos="432"/>
        </w:tabs>
        <w:ind w:left="432" w:hanging="432"/>
      </w:pPr>
      <w:rPr>
        <w:rFonts w:ascii="Times New Roman" w:hAnsi="Times New Roman" w:hint="default"/>
        <w:b/>
        <w:i w:val="0"/>
        <w:color w:val="4F81BD"/>
        <w:sz w:val="28"/>
      </w:rPr>
    </w:lvl>
    <w:lvl w:ilvl="1">
      <w:start w:val="1"/>
      <w:numFmt w:val="decimal"/>
      <w:pStyle w:val="Heading2"/>
      <w:lvlText w:val="%1.%2"/>
      <w:lvlJc w:val="left"/>
      <w:pPr>
        <w:tabs>
          <w:tab w:val="num" w:pos="576"/>
        </w:tabs>
        <w:ind w:left="576" w:hanging="576"/>
      </w:pPr>
      <w:rPr>
        <w:rFonts w:hint="default"/>
        <w:color w:val="4F81BD"/>
      </w:rPr>
    </w:lvl>
    <w:lvl w:ilvl="2">
      <w:start w:val="1"/>
      <w:numFmt w:val="decimal"/>
      <w:pStyle w:val="Heading3"/>
      <w:lvlText w:val="%1.%2.%3"/>
      <w:lvlJc w:val="left"/>
      <w:pPr>
        <w:tabs>
          <w:tab w:val="num" w:pos="720"/>
        </w:tabs>
        <w:ind w:left="720" w:hanging="720"/>
      </w:pPr>
      <w:rPr>
        <w:rFonts w:ascii="Calibri" w:hAnsi="Calibri" w:cs="Calibri" w:hint="default"/>
        <w:i w:val="0"/>
        <w:sz w:val="24"/>
        <w:szCs w:val="24"/>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783AD0"/>
    <w:multiLevelType w:val="hybridMultilevel"/>
    <w:tmpl w:val="04CC5E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9EB155E"/>
    <w:multiLevelType w:val="hybridMultilevel"/>
    <w:tmpl w:val="4860F79E"/>
    <w:lvl w:ilvl="0" w:tplc="E68E748A">
      <w:numFmt w:val="bullet"/>
      <w:lvlText w:val="-"/>
      <w:lvlJc w:val="left"/>
      <w:pPr>
        <w:ind w:left="717" w:hanging="360"/>
      </w:pPr>
      <w:rPr>
        <w:rFonts w:ascii="Calibri" w:eastAsia="Times New Roman" w:hAnsi="Calibri" w:cs="Times New Roman" w:hint="default"/>
      </w:rPr>
    </w:lvl>
    <w:lvl w:ilvl="1" w:tplc="04090003">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9" w15:restartNumberingAfterBreak="0">
    <w:nsid w:val="1B717CD1"/>
    <w:multiLevelType w:val="hybridMultilevel"/>
    <w:tmpl w:val="8514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EB7F1B"/>
    <w:multiLevelType w:val="hybridMultilevel"/>
    <w:tmpl w:val="FD487D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4D71635"/>
    <w:multiLevelType w:val="hybridMultilevel"/>
    <w:tmpl w:val="3E4664A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B97717"/>
    <w:multiLevelType w:val="hybridMultilevel"/>
    <w:tmpl w:val="E13C3A9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D252F6B"/>
    <w:multiLevelType w:val="hybridMultilevel"/>
    <w:tmpl w:val="CC845CEA"/>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1386C22"/>
    <w:multiLevelType w:val="hybridMultilevel"/>
    <w:tmpl w:val="2904E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403E1E"/>
    <w:multiLevelType w:val="hybridMultilevel"/>
    <w:tmpl w:val="C21411CC"/>
    <w:lvl w:ilvl="0" w:tplc="34109DF4">
      <w:start w:val="2"/>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6D70D33"/>
    <w:multiLevelType w:val="hybridMultilevel"/>
    <w:tmpl w:val="5FC0C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3A0C12"/>
    <w:multiLevelType w:val="hybridMultilevel"/>
    <w:tmpl w:val="5CA6A078"/>
    <w:lvl w:ilvl="0" w:tplc="08090003">
      <w:start w:val="1"/>
      <w:numFmt w:val="bullet"/>
      <w:lvlText w:val="o"/>
      <w:lvlJc w:val="left"/>
      <w:pPr>
        <w:ind w:left="1440" w:hanging="360"/>
      </w:pPr>
      <w:rPr>
        <w:rFonts w:ascii="Courier New" w:hAnsi="Courier New" w:cs="Courier New" w:hint="default"/>
      </w:rPr>
    </w:lvl>
    <w:lvl w:ilvl="1" w:tplc="75EC7A50">
      <w:start w:val="4"/>
      <w:numFmt w:val="bullet"/>
      <w:lvlText w:val="-"/>
      <w:lvlJc w:val="left"/>
      <w:pPr>
        <w:ind w:left="2160" w:hanging="360"/>
      </w:pPr>
      <w:rPr>
        <w:rFonts w:ascii="Calibri" w:eastAsia="Calibri" w:hAnsi="Calibri" w:cs="Calibr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B7B21C9"/>
    <w:multiLevelType w:val="hybridMultilevel"/>
    <w:tmpl w:val="EDEAD79C"/>
    <w:lvl w:ilvl="0" w:tplc="34109DF4">
      <w:start w:val="2"/>
      <w:numFmt w:val="bullet"/>
      <w:lvlText w:val="-"/>
      <w:lvlJc w:val="left"/>
      <w:pPr>
        <w:ind w:left="1428" w:hanging="360"/>
      </w:pPr>
      <w:rPr>
        <w:rFonts w:ascii="Calibri" w:eastAsia="Times New Roman" w:hAnsi="Calibri" w:cs="Times New Roman"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45B02A2C"/>
    <w:multiLevelType w:val="hybridMultilevel"/>
    <w:tmpl w:val="0644B752"/>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0" w15:restartNumberingAfterBreak="0">
    <w:nsid w:val="4ED62E0D"/>
    <w:multiLevelType w:val="hybridMultilevel"/>
    <w:tmpl w:val="7B26FD88"/>
    <w:lvl w:ilvl="0" w:tplc="0CDE25D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FE67433"/>
    <w:multiLevelType w:val="hybridMultilevel"/>
    <w:tmpl w:val="147C581E"/>
    <w:lvl w:ilvl="0" w:tplc="34109DF4">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3B475B"/>
    <w:multiLevelType w:val="hybridMultilevel"/>
    <w:tmpl w:val="F4D05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EF55A11"/>
    <w:multiLevelType w:val="hybridMultilevel"/>
    <w:tmpl w:val="F9AA7E54"/>
    <w:lvl w:ilvl="0" w:tplc="D65404C2">
      <w:start w:val="1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
  </w:num>
  <w:num w:numId="4">
    <w:abstractNumId w:val="12"/>
  </w:num>
  <w:num w:numId="5">
    <w:abstractNumId w:val="2"/>
  </w:num>
  <w:num w:numId="6">
    <w:abstractNumId w:val="14"/>
  </w:num>
  <w:num w:numId="7">
    <w:abstractNumId w:val="17"/>
  </w:num>
  <w:num w:numId="8">
    <w:abstractNumId w:val="7"/>
  </w:num>
  <w:num w:numId="9">
    <w:abstractNumId w:val="6"/>
  </w:num>
  <w:num w:numId="10">
    <w:abstractNumId w:val="19"/>
  </w:num>
  <w:num w:numId="11">
    <w:abstractNumId w:val="18"/>
  </w:num>
  <w:num w:numId="12">
    <w:abstractNumId w:val="5"/>
  </w:num>
  <w:num w:numId="13">
    <w:abstractNumId w:val="15"/>
  </w:num>
  <w:num w:numId="14">
    <w:abstractNumId w:val="0"/>
  </w:num>
  <w:num w:numId="15">
    <w:abstractNumId w:val="23"/>
  </w:num>
  <w:num w:numId="16">
    <w:abstractNumId w:val="20"/>
  </w:num>
  <w:num w:numId="17">
    <w:abstractNumId w:val="22"/>
  </w:num>
  <w:num w:numId="18">
    <w:abstractNumId w:val="13"/>
  </w:num>
  <w:num w:numId="19">
    <w:abstractNumId w:val="11"/>
  </w:num>
  <w:num w:numId="20">
    <w:abstractNumId w:val="3"/>
  </w:num>
  <w:num w:numId="21">
    <w:abstractNumId w:val="10"/>
  </w:num>
  <w:num w:numId="22">
    <w:abstractNumId w:val="8"/>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077"/>
    <w:rsid w:val="000138F5"/>
    <w:rsid w:val="000525CB"/>
    <w:rsid w:val="0005422A"/>
    <w:rsid w:val="00056B07"/>
    <w:rsid w:val="000A5E82"/>
    <w:rsid w:val="000A751E"/>
    <w:rsid w:val="000B383A"/>
    <w:rsid w:val="000C5D7B"/>
    <w:rsid w:val="000F15C6"/>
    <w:rsid w:val="00101A8E"/>
    <w:rsid w:val="00104CCC"/>
    <w:rsid w:val="00105F42"/>
    <w:rsid w:val="00113415"/>
    <w:rsid w:val="00121957"/>
    <w:rsid w:val="0016059C"/>
    <w:rsid w:val="001624C1"/>
    <w:rsid w:val="00170737"/>
    <w:rsid w:val="0017379F"/>
    <w:rsid w:val="001C30F1"/>
    <w:rsid w:val="001E06D1"/>
    <w:rsid w:val="001F0CC5"/>
    <w:rsid w:val="001F0E44"/>
    <w:rsid w:val="00203188"/>
    <w:rsid w:val="00226108"/>
    <w:rsid w:val="00232563"/>
    <w:rsid w:val="00250CDF"/>
    <w:rsid w:val="002A3897"/>
    <w:rsid w:val="002D54C6"/>
    <w:rsid w:val="002D63E1"/>
    <w:rsid w:val="002E5935"/>
    <w:rsid w:val="00302227"/>
    <w:rsid w:val="00310BEB"/>
    <w:rsid w:val="00331F3F"/>
    <w:rsid w:val="003445BE"/>
    <w:rsid w:val="0035188B"/>
    <w:rsid w:val="003A31DA"/>
    <w:rsid w:val="003A7A59"/>
    <w:rsid w:val="003B567B"/>
    <w:rsid w:val="003C636B"/>
    <w:rsid w:val="0040322B"/>
    <w:rsid w:val="00415294"/>
    <w:rsid w:val="00451711"/>
    <w:rsid w:val="004576A9"/>
    <w:rsid w:val="00462D03"/>
    <w:rsid w:val="00466E7E"/>
    <w:rsid w:val="004727DF"/>
    <w:rsid w:val="00474B89"/>
    <w:rsid w:val="0047740D"/>
    <w:rsid w:val="00483C0A"/>
    <w:rsid w:val="00494520"/>
    <w:rsid w:val="004A1686"/>
    <w:rsid w:val="004B78D4"/>
    <w:rsid w:val="004F6592"/>
    <w:rsid w:val="005040FC"/>
    <w:rsid w:val="00521077"/>
    <w:rsid w:val="00526700"/>
    <w:rsid w:val="00531C1C"/>
    <w:rsid w:val="00534DC3"/>
    <w:rsid w:val="005570FF"/>
    <w:rsid w:val="005610DC"/>
    <w:rsid w:val="00571D1A"/>
    <w:rsid w:val="00584E86"/>
    <w:rsid w:val="005B02AB"/>
    <w:rsid w:val="005B245A"/>
    <w:rsid w:val="005C71B0"/>
    <w:rsid w:val="005E01E1"/>
    <w:rsid w:val="0060731F"/>
    <w:rsid w:val="00615065"/>
    <w:rsid w:val="00617953"/>
    <w:rsid w:val="006319E6"/>
    <w:rsid w:val="00636927"/>
    <w:rsid w:val="006621C9"/>
    <w:rsid w:val="006750C3"/>
    <w:rsid w:val="00682FFE"/>
    <w:rsid w:val="00695F4D"/>
    <w:rsid w:val="006A4A6E"/>
    <w:rsid w:val="006A655A"/>
    <w:rsid w:val="006A684F"/>
    <w:rsid w:val="006B1C60"/>
    <w:rsid w:val="006C1714"/>
    <w:rsid w:val="006D062C"/>
    <w:rsid w:val="006F7561"/>
    <w:rsid w:val="007175C7"/>
    <w:rsid w:val="007276E9"/>
    <w:rsid w:val="00763179"/>
    <w:rsid w:val="00794584"/>
    <w:rsid w:val="007B6B77"/>
    <w:rsid w:val="007D0740"/>
    <w:rsid w:val="007E10A2"/>
    <w:rsid w:val="007F7CC9"/>
    <w:rsid w:val="00822867"/>
    <w:rsid w:val="0082679E"/>
    <w:rsid w:val="00832C02"/>
    <w:rsid w:val="00857297"/>
    <w:rsid w:val="00863B3D"/>
    <w:rsid w:val="008650F9"/>
    <w:rsid w:val="008804A8"/>
    <w:rsid w:val="00896AB4"/>
    <w:rsid w:val="008A1B5E"/>
    <w:rsid w:val="008A30A9"/>
    <w:rsid w:val="008D37C0"/>
    <w:rsid w:val="008E4265"/>
    <w:rsid w:val="00920A48"/>
    <w:rsid w:val="00941D08"/>
    <w:rsid w:val="00955523"/>
    <w:rsid w:val="00983027"/>
    <w:rsid w:val="009A230C"/>
    <w:rsid w:val="009A4EB3"/>
    <w:rsid w:val="009C26A9"/>
    <w:rsid w:val="009D0069"/>
    <w:rsid w:val="009D17E1"/>
    <w:rsid w:val="009E1FC1"/>
    <w:rsid w:val="009F64E6"/>
    <w:rsid w:val="009F72AB"/>
    <w:rsid w:val="00A220A0"/>
    <w:rsid w:val="00A24899"/>
    <w:rsid w:val="00A375BB"/>
    <w:rsid w:val="00A4500B"/>
    <w:rsid w:val="00A47F0A"/>
    <w:rsid w:val="00AC1300"/>
    <w:rsid w:val="00AD7BD0"/>
    <w:rsid w:val="00AF6929"/>
    <w:rsid w:val="00AF6C11"/>
    <w:rsid w:val="00B043DE"/>
    <w:rsid w:val="00B40184"/>
    <w:rsid w:val="00B55A45"/>
    <w:rsid w:val="00B576AB"/>
    <w:rsid w:val="00B609DB"/>
    <w:rsid w:val="00B61044"/>
    <w:rsid w:val="00B62423"/>
    <w:rsid w:val="00B81635"/>
    <w:rsid w:val="00BB2C04"/>
    <w:rsid w:val="00BB51BA"/>
    <w:rsid w:val="00BB5B76"/>
    <w:rsid w:val="00BD17DC"/>
    <w:rsid w:val="00C003CE"/>
    <w:rsid w:val="00C11E9C"/>
    <w:rsid w:val="00C23CE7"/>
    <w:rsid w:val="00C41FD4"/>
    <w:rsid w:val="00C52EB8"/>
    <w:rsid w:val="00C71309"/>
    <w:rsid w:val="00CA0C11"/>
    <w:rsid w:val="00CB4F3F"/>
    <w:rsid w:val="00CC76A6"/>
    <w:rsid w:val="00CD144B"/>
    <w:rsid w:val="00CD74C5"/>
    <w:rsid w:val="00CF643D"/>
    <w:rsid w:val="00D36F3F"/>
    <w:rsid w:val="00D446A5"/>
    <w:rsid w:val="00D54F91"/>
    <w:rsid w:val="00D5637C"/>
    <w:rsid w:val="00D7070D"/>
    <w:rsid w:val="00DF39B8"/>
    <w:rsid w:val="00E27A17"/>
    <w:rsid w:val="00E62D2D"/>
    <w:rsid w:val="00EC5DEA"/>
    <w:rsid w:val="00EC5E63"/>
    <w:rsid w:val="00ED2047"/>
    <w:rsid w:val="00F07F1F"/>
    <w:rsid w:val="00F25379"/>
    <w:rsid w:val="00F3285B"/>
    <w:rsid w:val="00F50626"/>
    <w:rsid w:val="00F64951"/>
    <w:rsid w:val="00F81984"/>
    <w:rsid w:val="00F85AE6"/>
    <w:rsid w:val="00F97BCF"/>
    <w:rsid w:val="00FA1451"/>
    <w:rsid w:val="00FC0DA7"/>
    <w:rsid w:val="00FE1CC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01C419-DD32-4D97-9CDE-7920203B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C1C"/>
    <w:rPr>
      <w:rFonts w:ascii="Arial" w:hAnsi="Arial"/>
      <w:sz w:val="20"/>
    </w:rPr>
  </w:style>
  <w:style w:type="paragraph" w:styleId="Heading2">
    <w:name w:val="heading 2"/>
    <w:basedOn w:val="Normal"/>
    <w:next w:val="Normal"/>
    <w:link w:val="Heading2Char"/>
    <w:qFormat/>
    <w:rsid w:val="005C71B0"/>
    <w:pPr>
      <w:keepNext/>
      <w:numPr>
        <w:ilvl w:val="1"/>
        <w:numId w:val="9"/>
      </w:numPr>
      <w:spacing w:after="0" w:line="240" w:lineRule="auto"/>
      <w:outlineLvl w:val="1"/>
    </w:pPr>
    <w:rPr>
      <w:rFonts w:ascii="Times New Roman" w:eastAsia="Times New Roman" w:hAnsi="Times New Roman" w:cs="Times New Roman"/>
      <w:b/>
      <w:bCs/>
      <w:noProof/>
      <w:sz w:val="24"/>
      <w:szCs w:val="24"/>
    </w:rPr>
  </w:style>
  <w:style w:type="paragraph" w:styleId="Heading3">
    <w:name w:val="heading 3"/>
    <w:basedOn w:val="Normal"/>
    <w:next w:val="Normal"/>
    <w:link w:val="Heading3Char"/>
    <w:qFormat/>
    <w:rsid w:val="005C71B0"/>
    <w:pPr>
      <w:keepNext/>
      <w:numPr>
        <w:ilvl w:val="2"/>
        <w:numId w:val="9"/>
      </w:numPr>
      <w:spacing w:before="240" w:after="60" w:line="240" w:lineRule="auto"/>
      <w:outlineLvl w:val="2"/>
    </w:pPr>
    <w:rPr>
      <w:rFonts w:eastAsia="Times New Roman" w:cs="Arial"/>
      <w:b/>
      <w:bCs/>
      <w:noProof/>
      <w:sz w:val="26"/>
      <w:szCs w:val="26"/>
    </w:rPr>
  </w:style>
  <w:style w:type="paragraph" w:styleId="Heading4">
    <w:name w:val="heading 4"/>
    <w:basedOn w:val="Normal"/>
    <w:next w:val="Normal"/>
    <w:link w:val="Heading4Char"/>
    <w:qFormat/>
    <w:rsid w:val="005C71B0"/>
    <w:pPr>
      <w:keepNext/>
      <w:numPr>
        <w:ilvl w:val="3"/>
        <w:numId w:val="9"/>
      </w:numPr>
      <w:spacing w:before="240" w:after="60" w:line="240" w:lineRule="auto"/>
      <w:outlineLvl w:val="3"/>
    </w:pPr>
    <w:rPr>
      <w:rFonts w:ascii="Times New Roman" w:eastAsia="Times New Roman" w:hAnsi="Times New Roman" w:cs="Times New Roman"/>
      <w:b/>
      <w:bCs/>
      <w:noProof/>
      <w:sz w:val="28"/>
      <w:szCs w:val="28"/>
    </w:rPr>
  </w:style>
  <w:style w:type="paragraph" w:styleId="Heading5">
    <w:name w:val="heading 5"/>
    <w:basedOn w:val="Normal"/>
    <w:next w:val="Normal"/>
    <w:link w:val="Heading5Char"/>
    <w:qFormat/>
    <w:rsid w:val="005C71B0"/>
    <w:pPr>
      <w:numPr>
        <w:ilvl w:val="4"/>
        <w:numId w:val="9"/>
      </w:numPr>
      <w:spacing w:before="240" w:after="60" w:line="240" w:lineRule="auto"/>
      <w:outlineLvl w:val="4"/>
    </w:pPr>
    <w:rPr>
      <w:rFonts w:ascii="Times New Roman" w:eastAsia="Times New Roman" w:hAnsi="Times New Roman" w:cs="Times New Roman"/>
      <w:b/>
      <w:bCs/>
      <w:i/>
      <w:iCs/>
      <w:noProof/>
      <w:sz w:val="26"/>
      <w:szCs w:val="26"/>
    </w:rPr>
  </w:style>
  <w:style w:type="paragraph" w:styleId="Heading6">
    <w:name w:val="heading 6"/>
    <w:aliases w:val="Numbered - 6"/>
    <w:basedOn w:val="Normal"/>
    <w:next w:val="Normal"/>
    <w:link w:val="Heading6Char"/>
    <w:qFormat/>
    <w:rsid w:val="005C71B0"/>
    <w:pPr>
      <w:numPr>
        <w:ilvl w:val="5"/>
        <w:numId w:val="9"/>
      </w:numPr>
      <w:spacing w:before="240" w:after="60" w:line="240" w:lineRule="auto"/>
      <w:outlineLvl w:val="5"/>
    </w:pPr>
    <w:rPr>
      <w:rFonts w:ascii="Times New Roman" w:eastAsia="Times New Roman" w:hAnsi="Times New Roman" w:cs="Times New Roman"/>
      <w:b/>
      <w:bCs/>
      <w:noProof/>
      <w:sz w:val="22"/>
    </w:rPr>
  </w:style>
  <w:style w:type="paragraph" w:styleId="Heading7">
    <w:name w:val="heading 7"/>
    <w:basedOn w:val="Normal"/>
    <w:next w:val="Normal"/>
    <w:link w:val="Heading7Char"/>
    <w:qFormat/>
    <w:rsid w:val="005C71B0"/>
    <w:pPr>
      <w:numPr>
        <w:ilvl w:val="6"/>
        <w:numId w:val="9"/>
      </w:numPr>
      <w:spacing w:before="240" w:after="60" w:line="240" w:lineRule="auto"/>
      <w:outlineLvl w:val="6"/>
    </w:pPr>
    <w:rPr>
      <w:rFonts w:ascii="Times New Roman" w:eastAsia="Times New Roman" w:hAnsi="Times New Roman" w:cs="Times New Roman"/>
      <w:noProof/>
      <w:sz w:val="24"/>
      <w:szCs w:val="24"/>
    </w:rPr>
  </w:style>
  <w:style w:type="paragraph" w:styleId="Heading8">
    <w:name w:val="heading 8"/>
    <w:basedOn w:val="Normal"/>
    <w:next w:val="Normal"/>
    <w:link w:val="Heading8Char"/>
    <w:qFormat/>
    <w:rsid w:val="005C71B0"/>
    <w:pPr>
      <w:numPr>
        <w:ilvl w:val="7"/>
        <w:numId w:val="9"/>
      </w:numPr>
      <w:spacing w:before="240" w:after="60" w:line="240" w:lineRule="auto"/>
      <w:outlineLvl w:val="7"/>
    </w:pPr>
    <w:rPr>
      <w:rFonts w:ascii="Times New Roman" w:eastAsia="Times New Roman" w:hAnsi="Times New Roman" w:cs="Times New Roman"/>
      <w:i/>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1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10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077"/>
    <w:rPr>
      <w:rFonts w:ascii="Tahoma" w:hAnsi="Tahoma" w:cs="Tahoma"/>
      <w:sz w:val="16"/>
      <w:szCs w:val="16"/>
    </w:rPr>
  </w:style>
  <w:style w:type="paragraph" w:styleId="ListParagraph">
    <w:name w:val="List Paragraph"/>
    <w:basedOn w:val="Normal"/>
    <w:link w:val="ListParagraphChar"/>
    <w:uiPriority w:val="34"/>
    <w:qFormat/>
    <w:rsid w:val="00521077"/>
    <w:pPr>
      <w:ind w:left="720"/>
      <w:contextualSpacing/>
    </w:pPr>
  </w:style>
  <w:style w:type="paragraph" w:styleId="FootnoteText">
    <w:name w:val="footnote text"/>
    <w:basedOn w:val="Normal"/>
    <w:link w:val="FootnoteTextChar"/>
    <w:uiPriority w:val="99"/>
    <w:semiHidden/>
    <w:unhideWhenUsed/>
    <w:rsid w:val="00521077"/>
    <w:pPr>
      <w:spacing w:after="0" w:line="240" w:lineRule="auto"/>
    </w:pPr>
    <w:rPr>
      <w:szCs w:val="20"/>
    </w:rPr>
  </w:style>
  <w:style w:type="character" w:customStyle="1" w:styleId="FootnoteTextChar">
    <w:name w:val="Footnote Text Char"/>
    <w:basedOn w:val="DefaultParagraphFont"/>
    <w:link w:val="FootnoteText"/>
    <w:uiPriority w:val="99"/>
    <w:semiHidden/>
    <w:rsid w:val="00521077"/>
    <w:rPr>
      <w:rFonts w:ascii="Arial" w:hAnsi="Arial"/>
      <w:sz w:val="20"/>
      <w:szCs w:val="20"/>
    </w:rPr>
  </w:style>
  <w:style w:type="character" w:styleId="FootnoteReference">
    <w:name w:val="footnote reference"/>
    <w:basedOn w:val="DefaultParagraphFont"/>
    <w:uiPriority w:val="99"/>
    <w:semiHidden/>
    <w:unhideWhenUsed/>
    <w:rsid w:val="00521077"/>
    <w:rPr>
      <w:vertAlign w:val="superscript"/>
    </w:rPr>
  </w:style>
  <w:style w:type="paragraph" w:styleId="Caption">
    <w:name w:val="caption"/>
    <w:basedOn w:val="Normal"/>
    <w:next w:val="Normal"/>
    <w:uiPriority w:val="35"/>
    <w:unhideWhenUsed/>
    <w:qFormat/>
    <w:rsid w:val="009F64E6"/>
    <w:pPr>
      <w:spacing w:line="240" w:lineRule="auto"/>
    </w:pPr>
    <w:rPr>
      <w:b/>
      <w:bCs/>
      <w:color w:val="4F81BD" w:themeColor="accent1"/>
      <w:sz w:val="18"/>
      <w:szCs w:val="18"/>
    </w:rPr>
  </w:style>
  <w:style w:type="character" w:styleId="Hyperlink">
    <w:name w:val="Hyperlink"/>
    <w:basedOn w:val="DefaultParagraphFont"/>
    <w:uiPriority w:val="99"/>
    <w:unhideWhenUsed/>
    <w:rsid w:val="00B043DE"/>
    <w:rPr>
      <w:color w:val="0000FF" w:themeColor="hyperlink"/>
      <w:u w:val="single"/>
    </w:rPr>
  </w:style>
  <w:style w:type="character" w:customStyle="1" w:styleId="Heading2Char">
    <w:name w:val="Heading 2 Char"/>
    <w:basedOn w:val="DefaultParagraphFont"/>
    <w:link w:val="Heading2"/>
    <w:rsid w:val="005C71B0"/>
    <w:rPr>
      <w:rFonts w:ascii="Times New Roman" w:eastAsia="Times New Roman" w:hAnsi="Times New Roman" w:cs="Times New Roman"/>
      <w:b/>
      <w:bCs/>
      <w:noProof/>
      <w:sz w:val="24"/>
      <w:szCs w:val="24"/>
    </w:rPr>
  </w:style>
  <w:style w:type="character" w:customStyle="1" w:styleId="Heading3Char">
    <w:name w:val="Heading 3 Char"/>
    <w:basedOn w:val="DefaultParagraphFont"/>
    <w:link w:val="Heading3"/>
    <w:rsid w:val="005C71B0"/>
    <w:rPr>
      <w:rFonts w:ascii="Arial" w:eastAsia="Times New Roman" w:hAnsi="Arial" w:cs="Arial"/>
      <w:b/>
      <w:bCs/>
      <w:noProof/>
      <w:sz w:val="26"/>
      <w:szCs w:val="26"/>
    </w:rPr>
  </w:style>
  <w:style w:type="character" w:customStyle="1" w:styleId="Heading4Char">
    <w:name w:val="Heading 4 Char"/>
    <w:basedOn w:val="DefaultParagraphFont"/>
    <w:link w:val="Heading4"/>
    <w:rsid w:val="005C71B0"/>
    <w:rPr>
      <w:rFonts w:ascii="Times New Roman" w:eastAsia="Times New Roman" w:hAnsi="Times New Roman" w:cs="Times New Roman"/>
      <w:b/>
      <w:bCs/>
      <w:noProof/>
      <w:sz w:val="28"/>
      <w:szCs w:val="28"/>
    </w:rPr>
  </w:style>
  <w:style w:type="character" w:customStyle="1" w:styleId="Heading5Char">
    <w:name w:val="Heading 5 Char"/>
    <w:basedOn w:val="DefaultParagraphFont"/>
    <w:link w:val="Heading5"/>
    <w:rsid w:val="005C71B0"/>
    <w:rPr>
      <w:rFonts w:ascii="Times New Roman" w:eastAsia="Times New Roman" w:hAnsi="Times New Roman" w:cs="Times New Roman"/>
      <w:b/>
      <w:bCs/>
      <w:i/>
      <w:iCs/>
      <w:noProof/>
      <w:sz w:val="26"/>
      <w:szCs w:val="26"/>
    </w:rPr>
  </w:style>
  <w:style w:type="character" w:customStyle="1" w:styleId="Heading6Char">
    <w:name w:val="Heading 6 Char"/>
    <w:aliases w:val="Numbered - 6 Char"/>
    <w:basedOn w:val="DefaultParagraphFont"/>
    <w:link w:val="Heading6"/>
    <w:rsid w:val="005C71B0"/>
    <w:rPr>
      <w:rFonts w:ascii="Times New Roman" w:eastAsia="Times New Roman" w:hAnsi="Times New Roman" w:cs="Times New Roman"/>
      <w:b/>
      <w:bCs/>
      <w:noProof/>
    </w:rPr>
  </w:style>
  <w:style w:type="character" w:customStyle="1" w:styleId="Heading7Char">
    <w:name w:val="Heading 7 Char"/>
    <w:basedOn w:val="DefaultParagraphFont"/>
    <w:link w:val="Heading7"/>
    <w:rsid w:val="005C71B0"/>
    <w:rPr>
      <w:rFonts w:ascii="Times New Roman" w:eastAsia="Times New Roman" w:hAnsi="Times New Roman" w:cs="Times New Roman"/>
      <w:noProof/>
      <w:sz w:val="24"/>
      <w:szCs w:val="24"/>
    </w:rPr>
  </w:style>
  <w:style w:type="character" w:customStyle="1" w:styleId="Heading8Char">
    <w:name w:val="Heading 8 Char"/>
    <w:basedOn w:val="DefaultParagraphFont"/>
    <w:link w:val="Heading8"/>
    <w:rsid w:val="005C71B0"/>
    <w:rPr>
      <w:rFonts w:ascii="Times New Roman" w:eastAsia="Times New Roman" w:hAnsi="Times New Roman" w:cs="Times New Roman"/>
      <w:i/>
      <w:iCs/>
      <w:noProof/>
      <w:sz w:val="24"/>
      <w:szCs w:val="24"/>
    </w:rPr>
  </w:style>
  <w:style w:type="character" w:customStyle="1" w:styleId="ListParagraphChar">
    <w:name w:val="List Paragraph Char"/>
    <w:link w:val="ListParagraph"/>
    <w:uiPriority w:val="34"/>
    <w:locked/>
    <w:rsid w:val="005C71B0"/>
    <w:rPr>
      <w:rFonts w:ascii="Arial" w:hAnsi="Arial"/>
      <w:sz w:val="20"/>
    </w:rPr>
  </w:style>
  <w:style w:type="paragraph" w:styleId="Header">
    <w:name w:val="header"/>
    <w:basedOn w:val="Normal"/>
    <w:link w:val="HeaderChar"/>
    <w:uiPriority w:val="99"/>
    <w:unhideWhenUsed/>
    <w:rsid w:val="00571D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1D1A"/>
    <w:rPr>
      <w:rFonts w:ascii="Arial" w:hAnsi="Arial"/>
      <w:sz w:val="20"/>
    </w:rPr>
  </w:style>
  <w:style w:type="paragraph" w:styleId="Footer">
    <w:name w:val="footer"/>
    <w:basedOn w:val="Normal"/>
    <w:link w:val="FooterChar"/>
    <w:uiPriority w:val="99"/>
    <w:unhideWhenUsed/>
    <w:rsid w:val="00571D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1D1A"/>
    <w:rPr>
      <w:rFonts w:ascii="Arial" w:hAnsi="Arial"/>
      <w:sz w:val="20"/>
    </w:rPr>
  </w:style>
  <w:style w:type="paragraph" w:customStyle="1" w:styleId="broodtekst">
    <w:name w:val="broodtekst"/>
    <w:basedOn w:val="Normal"/>
    <w:link w:val="broodtekstChar"/>
    <w:uiPriority w:val="99"/>
    <w:qFormat/>
    <w:rsid w:val="006A684F"/>
    <w:pPr>
      <w:spacing w:after="0" w:line="280" w:lineRule="atLeast"/>
    </w:pPr>
    <w:rPr>
      <w:rFonts w:eastAsia="Calibri" w:cs="Times New Roman"/>
      <w:noProof/>
      <w:sz w:val="24"/>
      <w:szCs w:val="24"/>
      <w:lang w:eastAsia="nl-NL"/>
    </w:rPr>
  </w:style>
  <w:style w:type="character" w:customStyle="1" w:styleId="broodtekstChar">
    <w:name w:val="broodtekst Char"/>
    <w:link w:val="broodtekst"/>
    <w:uiPriority w:val="99"/>
    <w:locked/>
    <w:rsid w:val="006A684F"/>
    <w:rPr>
      <w:rFonts w:ascii="Arial" w:eastAsia="Calibri" w:hAnsi="Arial" w:cs="Times New Roman"/>
      <w:noProof/>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48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t.ro/web14/documente/master_plan/RM%20MP%20I.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post.ro/fisiere/pagini_fisiere/Raport_asupra_elaborarii_modelulu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mediu.ro/new/?page_id=166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t.ro/web14/strategia-in-transporturi/master-plan-general-transport/anunturi" TargetMode="External"/><Relationship Id="rId4" Type="http://schemas.openxmlformats.org/officeDocument/2006/relationships/settings" Target="settings.xml"/><Relationship Id="rId9" Type="http://schemas.openxmlformats.org/officeDocument/2006/relationships/hyperlink" Target="http://www.ampost.ro/fisiere/pagini_fisiere/14.10.01_Master_Plan_Report.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FA2F-149F-4875-81D9-0964AA6B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4501</Words>
  <Characters>26109</Characters>
  <Application>Microsoft Office Word</Application>
  <DocSecurity>0</DocSecurity>
  <Lines>217</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European Investment Bank</Company>
  <LinksUpToDate>false</LinksUpToDate>
  <CharactersWithSpaces>30549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GRESSIER Alexis</dc:creator>
  <cp:lastModifiedBy>Monica Elena Cristea</cp:lastModifiedBy>
  <cp:revision>2</cp:revision>
  <cp:lastPrinted>2015-05-15T13:30:00Z</cp:lastPrinted>
  <dcterms:created xsi:type="dcterms:W3CDTF">2016-10-24T12:09:00Z</dcterms:created>
  <dcterms:modified xsi:type="dcterms:W3CDTF">2016-10-24T12:09:00Z</dcterms:modified>
</cp:coreProperties>
</file>